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CF6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9F223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постановления администрации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Мостовского </w:t>
      </w:r>
      <w:r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района </w:t>
      </w:r>
      <w:r w:rsidR="006448F2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41DCF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10</w:t>
      </w:r>
      <w:r w:rsidR="00EF5DC2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541DCF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 февраля</w:t>
      </w:r>
      <w:r w:rsidR="00EF5DC2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541DCF" w:rsidRPr="00541DCF">
        <w:rPr>
          <w:rFonts w:ascii="Times New Roman" w:hAnsi="Times New Roman" w:cs="Times New Roman"/>
          <w:color w:val="365F91" w:themeColor="accent1" w:themeShade="BF"/>
          <w:sz w:val="28"/>
        </w:rPr>
        <w:t>О межведомственной комиссии по оценке жилых помещений  жилищного фонда, расположенного на территории Беноковского сельского поселения Мостовского района</w:t>
      </w:r>
      <w:r w:rsidR="00D97C67"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41DCF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67F0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51</cp:revision>
  <cp:lastPrinted>2017-11-24T07:18:00Z</cp:lastPrinted>
  <dcterms:created xsi:type="dcterms:W3CDTF">2016-09-29T12:46:00Z</dcterms:created>
  <dcterms:modified xsi:type="dcterms:W3CDTF">2018-02-26T09:19:00Z</dcterms:modified>
</cp:coreProperties>
</file>