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4A0" w:firstRow="1" w:lastRow="0" w:firstColumn="1" w:lastColumn="0" w:noHBand="0" w:noVBand="1"/>
      </w:tblPr>
      <w:tblGrid>
        <w:gridCol w:w="4909"/>
        <w:gridCol w:w="4909"/>
      </w:tblGrid>
      <w:tr w:rsidR="00C52AC6" w:rsidRPr="00D3276F" w:rsidTr="00C52AC6">
        <w:trPr>
          <w:trHeight w:val="2684"/>
        </w:trPr>
        <w:tc>
          <w:tcPr>
            <w:tcW w:w="4909" w:type="dxa"/>
          </w:tcPr>
          <w:p w:rsidR="00C52AC6" w:rsidRPr="00D3276F" w:rsidRDefault="00626BE2" w:rsidP="00C52AC6">
            <w:pPr>
              <w:jc w:val="both"/>
              <w:rPr>
                <w:rStyle w:val="ad"/>
                <w:bCs/>
                <w:i/>
                <w:sz w:val="28"/>
                <w:szCs w:val="28"/>
              </w:rPr>
            </w:pPr>
            <w:r>
              <w:rPr>
                <w:rStyle w:val="ad"/>
                <w:bCs/>
                <w:i/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4909" w:type="dxa"/>
          </w:tcPr>
          <w:p w:rsidR="00C52AC6" w:rsidRDefault="00C52AC6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52AC6" w:rsidRPr="00AC19E6" w:rsidRDefault="00C52AC6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ПРИЛОЖЕНИЕ N 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2</w:t>
            </w:r>
          </w:p>
          <w:p w:rsidR="00C52AC6" w:rsidRPr="00AC19E6" w:rsidRDefault="00C52AC6" w:rsidP="00C52AC6">
            <w:pPr>
              <w:spacing w:line="240" w:lineRule="auto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Н                                                          постановлением администрации муниципального образования Мостовский район</w:t>
            </w:r>
          </w:p>
          <w:p w:rsidR="00C52AC6" w:rsidRPr="00C52AC6" w:rsidRDefault="00C52AC6" w:rsidP="00C52AC6">
            <w:pPr>
              <w:spacing w:line="240" w:lineRule="auto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  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от _________________  № _______</w:t>
            </w:r>
          </w:p>
        </w:tc>
      </w:tr>
    </w:tbl>
    <w:p w:rsidR="00863840" w:rsidRDefault="00863840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52AC6" w:rsidRPr="00C52AC6" w:rsidRDefault="00C52AC6" w:rsidP="00AC19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AC6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887C4D" w:rsidRPr="007574F4" w:rsidRDefault="00887C4D" w:rsidP="00AC19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принятия решения о разработке,</w:t>
      </w:r>
    </w:p>
    <w:p w:rsidR="002E2CDD" w:rsidRPr="007574F4" w:rsidRDefault="00887C4D" w:rsidP="002E2CD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574F4">
        <w:rPr>
          <w:rFonts w:ascii="Times New Roman" w:hAnsi="Times New Roman"/>
          <w:sz w:val="28"/>
          <w:szCs w:val="28"/>
        </w:rPr>
        <w:t xml:space="preserve">формирования, реализации и оценки эффективности </w:t>
      </w:r>
      <w:proofErr w:type="gramStart"/>
      <w:r w:rsidR="00DD2A14" w:rsidRPr="007574F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proofErr w:type="gramEnd"/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7C4D" w:rsidRPr="007574F4" w:rsidRDefault="00887C4D" w:rsidP="002E2CD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E73F43" w:rsidRPr="007574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6D45" w:rsidRPr="007574F4">
        <w:rPr>
          <w:rFonts w:ascii="Times New Roman" w:eastAsia="Times New Roman" w:hAnsi="Times New Roman"/>
          <w:sz w:val="28"/>
          <w:szCs w:val="28"/>
          <w:lang w:eastAsia="ru-RU"/>
        </w:rPr>
        <w:t>Мостовского района</w:t>
      </w:r>
    </w:p>
    <w:p w:rsidR="007223D4" w:rsidRPr="007574F4" w:rsidRDefault="004A16F0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223D4" w:rsidRPr="007574F4">
        <w:rPr>
          <w:rFonts w:ascii="Times New Roman" w:eastAsia="Times New Roman" w:hAnsi="Times New Roman"/>
          <w:sz w:val="28"/>
          <w:szCs w:val="28"/>
          <w:lang w:eastAsia="ru-RU"/>
        </w:rPr>
        <w:t>. Общие положения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1.1 Порядок принятия решения о разработке, формирования, реализации и оценки эффективности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формирования,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705291" w:rsidRPr="007574F4" w:rsidRDefault="00705291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униципальной программой  муниципального образования Мостовский район (далее – муниципальная программа) является система мероприятий (взаимоувязанных по задачам, срокам осуществления и ресурсам)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муниципального образования</w:t>
      </w:r>
      <w:r w:rsidR="008D715A" w:rsidRPr="007574F4">
        <w:rPr>
          <w:rFonts w:ascii="Times New Roman" w:eastAsia="TimesNewRomanPSMT" w:hAnsi="Times New Roman"/>
          <w:sz w:val="28"/>
          <w:szCs w:val="28"/>
        </w:rPr>
        <w:t>.</w:t>
      </w:r>
    </w:p>
    <w:p w:rsidR="00705291" w:rsidRPr="007574F4" w:rsidRDefault="008D715A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1.2</w:t>
      </w:r>
      <w:r w:rsidR="00705291" w:rsidRPr="007574F4">
        <w:rPr>
          <w:rFonts w:ascii="Times New Roman" w:eastAsia="TimesNewRomanPSMT" w:hAnsi="Times New Roman"/>
          <w:sz w:val="28"/>
          <w:szCs w:val="28"/>
        </w:rPr>
        <w:t>. Муниципальная программа разрабатывается и утверждается на срок не менее 1 года.</w:t>
      </w:r>
    </w:p>
    <w:p w:rsidR="00C866B7" w:rsidRPr="007574F4" w:rsidRDefault="008D715A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1.3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>. Муниципальная программа может включать  под</w:t>
      </w:r>
      <w:r w:rsidR="00A13280" w:rsidRPr="007574F4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7574F4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основные мероприятия, ведомственные целевые программы. </w:t>
      </w:r>
      <w:r w:rsidR="00C866B7" w:rsidRPr="007574F4">
        <w:rPr>
          <w:rFonts w:ascii="Times New Roman" w:hAnsi="Times New Roman"/>
          <w:sz w:val="28"/>
          <w:szCs w:val="28"/>
          <w:lang w:eastAsia="ru-RU"/>
        </w:rPr>
        <w:t xml:space="preserve">Деление муниципальной программы на подпрограммы, ведомственные целевые программы осуществляется исходя из масштабности и сложности </w:t>
      </w:r>
      <w:proofErr w:type="gramStart"/>
      <w:r w:rsidR="00C866B7" w:rsidRPr="007574F4">
        <w:rPr>
          <w:rFonts w:ascii="Times New Roman" w:hAnsi="Times New Roman"/>
          <w:sz w:val="28"/>
          <w:szCs w:val="28"/>
          <w:lang w:eastAsia="ru-RU"/>
        </w:rPr>
        <w:t>решаемых</w:t>
      </w:r>
      <w:proofErr w:type="gramEnd"/>
      <w:r w:rsidR="00C866B7" w:rsidRPr="007574F4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программой задач.</w:t>
      </w:r>
      <w:r w:rsidR="00C866B7" w:rsidRPr="007574F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Требования к содержанию, порядку разработки и реализации ведомственных целевых программ определяются Порядком разработки, утверждения и реализации ведомственных целевых программ в муниципальном образовании, </w:t>
      </w:r>
      <w:r w:rsidR="007A727C" w:rsidRPr="007574F4">
        <w:rPr>
          <w:rFonts w:ascii="Times New Roman" w:eastAsia="TimesNewRomanPSMT" w:hAnsi="Times New Roman"/>
          <w:sz w:val="28"/>
          <w:szCs w:val="28"/>
        </w:rPr>
        <w:t xml:space="preserve">в </w:t>
      </w:r>
      <w:r w:rsidR="007A72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приложением № 2 к настоящему постановлению </w:t>
      </w:r>
      <w:r w:rsidRPr="007574F4">
        <w:rPr>
          <w:rFonts w:ascii="Times New Roman" w:eastAsia="TimesNewRomanPSMT" w:hAnsi="Times New Roman"/>
          <w:sz w:val="28"/>
          <w:szCs w:val="28"/>
        </w:rPr>
        <w:lastRenderedPageBreak/>
        <w:t>(далее – Порядок разработки, утверждения и реализации ведомственных целевых программ).</w:t>
      </w:r>
    </w:p>
    <w:p w:rsidR="00F01997" w:rsidRPr="007574F4" w:rsidRDefault="008D715A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proofErr w:type="gramStart"/>
      <w:r w:rsidR="000430B8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настоящем Порядке используются следующие термины и определения: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обладающий полномочиями, установленными настоящим Порядком (далее – координатор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программы); 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подпрограммы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-ответственный исполнитель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ответственный исполнитель) – орган исполнительной власти (структурное подразделение администрации </w:t>
      </w:r>
      <w:r w:rsidR="00C8443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  <w:proofErr w:type="gramEnd"/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-соисполнители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-участники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 и (или) иные главные распорядители (распорядители) средств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бюджета, участвующие в реализации одного или нескольких мероприятий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-основные параметры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574F4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574F4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-проблема социально-экономического развития – противоречие между желаемым (целевым) и текущим (действительным) состоянием сферы реализации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Pr="007574F4" w:rsidRDefault="008D715A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-непосредственный результат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C866B7" w:rsidRPr="007574F4" w:rsidRDefault="00C866B7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1.5.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</w:t>
      </w:r>
      <w:r w:rsidRPr="007574F4">
        <w:rPr>
          <w:rFonts w:ascii="Times New Roman" w:eastAsia="TimesNewRomanPSMT" w:hAnsi="Times New Roman"/>
          <w:sz w:val="28"/>
          <w:szCs w:val="28"/>
        </w:rPr>
        <w:lastRenderedPageBreak/>
        <w:t xml:space="preserve">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C866B7" w:rsidRPr="007574F4" w:rsidRDefault="00C866B7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</w:rPr>
        <w:t>1.6.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муниципального образования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Pr="007574F4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705291" w:rsidRPr="007574F4" w:rsidRDefault="00705291" w:rsidP="007052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4E09" w:rsidRPr="007574F4" w:rsidRDefault="004A16F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2</w:t>
      </w:r>
      <w:r w:rsidR="00224E09" w:rsidRPr="007574F4">
        <w:rPr>
          <w:rFonts w:ascii="Times New Roman" w:hAnsi="Times New Roman"/>
          <w:sz w:val="28"/>
          <w:szCs w:val="28"/>
        </w:rPr>
        <w:t>. Требования</w:t>
      </w:r>
      <w:r w:rsidR="00703017" w:rsidRPr="007574F4">
        <w:rPr>
          <w:rFonts w:ascii="Times New Roman" w:hAnsi="Times New Roman"/>
          <w:sz w:val="28"/>
          <w:szCs w:val="28"/>
        </w:rPr>
        <w:t xml:space="preserve"> к содержанию муниципальной</w:t>
      </w:r>
      <w:r w:rsidR="00224E09" w:rsidRPr="007574F4">
        <w:rPr>
          <w:rFonts w:ascii="Times New Roman" w:hAnsi="Times New Roman"/>
          <w:sz w:val="28"/>
          <w:szCs w:val="28"/>
        </w:rPr>
        <w:t xml:space="preserve"> программы</w:t>
      </w:r>
    </w:p>
    <w:p w:rsidR="001D7914" w:rsidRPr="007574F4" w:rsidRDefault="001D791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2.1.1. Паспорт муниципальной программы (по форме согласно приложению № 1 к настоящему Порядку).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 (при наличии);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/>
          <w:sz w:val="28"/>
          <w:szCs w:val="28"/>
        </w:rPr>
        <w:t>–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2.1.3. Подпрограммы и (или) ведомственные целевые программы (при наличии в виде приложений к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7574F4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прогноз развития соответствующей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проблем.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Анализ должен включать характеристику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1D7914" w:rsidRPr="007574F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отвечать иным требованиям, определяемым в соответствии с настоящим Порядком.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7574F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2.2.3. Раздел «Перечень и краткое описание подпрограмм, ведомственных целевых программ и основных мероприятий муниципальной программы».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ведомственных целевых программ, а также перечень основных мероприятий муниципальной программы.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муниципальных программ (подпрограмм, ведомственных целевых программ).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7574F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0D3CAF" w:rsidRPr="007574F4" w:rsidRDefault="0059331F" w:rsidP="005933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2.2.4. Раздел «Обоснование ресурсного обеспечения муниципальной программы».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подпрограммам, ведомственным целевым программам и основным мероприятиям. 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муниципального образования Мостовский район.</w:t>
      </w:r>
      <w:proofErr w:type="gramEnd"/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7574F4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ведомственную целевую 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район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 очередной финансовый год и на плановый период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период».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r w:rsidRPr="007574F4">
        <w:rPr>
          <w:rFonts w:ascii="Times New Roman" w:hAnsi="Times New Roman"/>
          <w:i/>
          <w:sz w:val="28"/>
          <w:szCs w:val="28"/>
        </w:rPr>
        <w:t>(</w:t>
      </w:r>
      <w:r w:rsidRPr="007574F4">
        <w:rPr>
          <w:rFonts w:ascii="Times New Roman" w:hAnsi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ведомственным целевым программам, основным мероприятиям муниципальной программы по форме согласно приложению № 4 к настоящему Порядку.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C276C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lastRenderedPageBreak/>
        <w:t>2.2.6</w:t>
      </w:r>
      <w:r w:rsidRPr="001C276C">
        <w:rPr>
          <w:rFonts w:ascii="Times New Roman" w:hAnsi="Times New Roman"/>
          <w:sz w:val="28"/>
          <w:szCs w:val="28"/>
          <w:highlight w:val="yellow"/>
          <w:lang w:eastAsia="ru-RU"/>
        </w:rPr>
        <w:t>. </w:t>
      </w:r>
      <w:r w:rsidRPr="001C276C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программы и входящих в нее подпрограмм, ведомственных целевых программ и основных мероприятий;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мероприятий подпрограмм, ведомственных целевых программ и основных мероприятий (достижения ожидаемых непосредственных результатов их реализации).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7574F4" w:rsidRDefault="00237F42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разработке </w:t>
      </w:r>
      <w:proofErr w:type="gramStart"/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</w:t>
      </w:r>
      <w:r w:rsidR="004F1DA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41596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8175D" w:rsidRPr="007574F4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результатам указанной оценки администрацией муниципального обра</w:t>
      </w:r>
      <w:r w:rsidR="00237F4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зования Мостовский район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7574F4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2.2.7. Раздел «Механизм реализации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7574F4">
        <w:rPr>
          <w:rFonts w:ascii="Times New Roman" w:hAnsi="Times New Roman"/>
          <w:sz w:val="28"/>
          <w:szCs w:val="28"/>
        </w:rPr>
        <w:t>».</w:t>
      </w:r>
    </w:p>
    <w:p w:rsidR="00B8175D" w:rsidRPr="007574F4" w:rsidRDefault="00B8175D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2.3.1. Паспорт подпрограммы (по форме согласно приложению № 5 к настоящему Порядку).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социально-экономического развития </w:t>
      </w:r>
      <w:r w:rsidR="00683ECB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7574F4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2.3.4.  Мероприятия подпрограмм в обязательном порядке должны быть увязаны с конечными результатами подпрограммы.</w:t>
      </w:r>
    </w:p>
    <w:p w:rsidR="00237F42" w:rsidRPr="007574F4" w:rsidRDefault="00237F42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237F42" w:rsidRPr="007574F4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7574F4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Pr="007574F4" w:rsidRDefault="00237F42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4A16F0" w:rsidRPr="007574F4" w:rsidRDefault="004A16F0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16F0" w:rsidRPr="007574F4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7574F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 </w:t>
      </w:r>
    </w:p>
    <w:p w:rsidR="004A16F0" w:rsidRPr="007574F4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программ, изменений в муниципальные программы</w:t>
      </w:r>
    </w:p>
    <w:p w:rsidR="004F1DA9" w:rsidRPr="007574F4" w:rsidRDefault="004F1DA9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F1DA9" w:rsidRPr="007574F4" w:rsidRDefault="004F1DA9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4F1DA9" w:rsidRPr="007574F4" w:rsidRDefault="004F1DA9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8D44FA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3.2. </w:t>
      </w:r>
      <w:proofErr w:type="gramStart"/>
      <w:r w:rsidR="009A2544" w:rsidRPr="007574F4">
        <w:rPr>
          <w:rFonts w:ascii="Times New Roman" w:hAnsi="Times New Roman"/>
          <w:sz w:val="28"/>
          <w:szCs w:val="28"/>
          <w:lang w:eastAsia="ru-RU"/>
        </w:rPr>
        <w:t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а также субъектами бюджетного планирования ведомственных целевых программ, включенных в муниципальные программы (подпрограммы), направляется ответственным исполнителем муниципальной программы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2544"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>одновременно в управление э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>кономики</w:t>
      </w:r>
      <w:r w:rsidR="008D44FA" w:rsidRPr="007574F4">
        <w:rPr>
          <w:rFonts w:ascii="Times New Roman" w:hAnsi="Times New Roman"/>
          <w:sz w:val="28"/>
          <w:szCs w:val="28"/>
          <w:lang w:eastAsia="ru-RU"/>
        </w:rPr>
        <w:t>, инвестиций, туризма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>,</w:t>
      </w:r>
      <w:r w:rsidR="008D44FA" w:rsidRPr="007574F4">
        <w:rPr>
          <w:rFonts w:ascii="Times New Roman" w:hAnsi="Times New Roman"/>
          <w:sz w:val="28"/>
          <w:szCs w:val="28"/>
          <w:lang w:eastAsia="ru-RU"/>
        </w:rPr>
        <w:t xml:space="preserve"> торговли и сферы услуг,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 xml:space="preserve"> финансовое управление 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7F6330" w:rsidRPr="007574F4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Мостовский район </w:t>
      </w:r>
      <w:r w:rsidRPr="007574F4">
        <w:rPr>
          <w:rFonts w:ascii="Times New Roman" w:hAnsi="Times New Roman"/>
          <w:sz w:val="28"/>
          <w:szCs w:val="28"/>
          <w:lang w:eastAsia="ru-RU"/>
        </w:rPr>
        <w:t>для проведения финансово-экономической экспертизы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 xml:space="preserve"> и подготовки заключения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8D44FA" w:rsidRPr="007574F4" w:rsidRDefault="008D44FA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Экспертиза проводится в течени</w:t>
      </w:r>
      <w:r w:rsidR="00B40355" w:rsidRPr="007574F4">
        <w:rPr>
          <w:rFonts w:ascii="Times New Roman" w:hAnsi="Times New Roman"/>
          <w:sz w:val="28"/>
          <w:szCs w:val="28"/>
          <w:lang w:eastAsia="ru-RU"/>
        </w:rPr>
        <w:t>е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10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</w:t>
      </w:r>
      <w:r w:rsidR="00B40355" w:rsidRPr="007574F4">
        <w:rPr>
          <w:rFonts w:ascii="Times New Roman" w:hAnsi="Times New Roman"/>
          <w:sz w:val="28"/>
          <w:szCs w:val="28"/>
          <w:lang w:eastAsia="ru-RU"/>
        </w:rPr>
        <w:t xml:space="preserve"> В заключени</w:t>
      </w:r>
      <w:proofErr w:type="gramStart"/>
      <w:r w:rsidR="00B40355" w:rsidRPr="007574F4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B40355" w:rsidRPr="007574F4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4A16F0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="00832FFA" w:rsidRPr="007574F4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7574F4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программы.</w:t>
      </w:r>
    </w:p>
    <w:p w:rsidR="009A2544" w:rsidRPr="007574F4" w:rsidRDefault="004A16F0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3.3. </w:t>
      </w:r>
      <w:r w:rsidR="009A2544" w:rsidRPr="007574F4">
        <w:rPr>
          <w:rFonts w:ascii="Times New Roman" w:hAnsi="Times New Roman"/>
          <w:sz w:val="28"/>
          <w:szCs w:val="28"/>
          <w:shd w:val="clear" w:color="auto" w:fill="FFFFFF"/>
        </w:rPr>
        <w:t>Проект муниципальной программы подлежит общественному обсуждению. Порядок проведения публичного обсуждения проектов муниципальных про</w:t>
      </w:r>
      <w:r w:rsidR="00832FFA" w:rsidRPr="007574F4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="008219E8" w:rsidRPr="007574F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9A2544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7574F4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7574F4" w:rsidRDefault="004A16F0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1 сентября года, предшествующего году начала реализации муниципальной программы.</w:t>
      </w:r>
    </w:p>
    <w:p w:rsidR="00DA3879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месяц до утверждения бюджета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район.</w:t>
      </w:r>
    </w:p>
    <w:p w:rsidR="004A16F0" w:rsidRPr="007574F4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7574F4" w:rsidRDefault="004A16F0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При внесении изменений в муниципальную программу (подпрограмму, ведомственную целевую программу, основное мероприятие) значения показателей муниципальной программы (подпрограммы, ведомственной целевой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7574F4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2D1667" w:rsidRPr="007574F4" w:rsidRDefault="002D1667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16F0" w:rsidRPr="007574F4" w:rsidRDefault="004A16F0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F2894" w:rsidRPr="007574F4" w:rsidRDefault="00832FFA" w:rsidP="00B426B8">
      <w:pPr>
        <w:shd w:val="clear" w:color="auto" w:fill="FFFFFF"/>
        <w:spacing w:line="315" w:lineRule="atLeast"/>
        <w:ind w:firstLine="851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4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E6427" w:rsidRPr="007574F4">
        <w:rPr>
          <w:rFonts w:ascii="Times New Roman" w:hAnsi="Times New Roman"/>
          <w:sz w:val="28"/>
          <w:szCs w:val="28"/>
          <w:lang w:eastAsia="ru-RU"/>
        </w:rPr>
        <w:t>Механизм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9E6427" w:rsidRPr="007574F4">
        <w:rPr>
          <w:rFonts w:ascii="Times New Roman" w:hAnsi="Times New Roman"/>
          <w:sz w:val="28"/>
          <w:szCs w:val="28"/>
          <w:lang w:eastAsia="ru-RU"/>
        </w:rPr>
        <w:t>и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122F"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программы и </w:t>
      </w:r>
      <w:proofErr w:type="gramStart"/>
      <w:r w:rsidR="009F2894" w:rsidRPr="007574F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ходом ее выполнения</w:t>
      </w:r>
    </w:p>
    <w:p w:rsidR="00DF1C1D" w:rsidRPr="007574F4" w:rsidRDefault="00832FFA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> Те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7574F4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рамм,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7574F4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муниципальные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5B122F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ринга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7574F4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размещает информацию о ходе реализации и достигн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утых результатах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на официальном сайте в сети Интернет;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</w:t>
      </w:r>
      <w:r w:rsidR="00B01CE3"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7574F4" w:rsidRDefault="00832FFA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8C3102" w:rsidRPr="007574F4">
        <w:rPr>
          <w:rFonts w:ascii="Times New Roman" w:hAnsi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134DEC" w:rsidRPr="007574F4" w:rsidRDefault="00832FFA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4.</w:t>
      </w:r>
      <w:r w:rsidR="00E81E63" w:rsidRPr="007574F4">
        <w:rPr>
          <w:rFonts w:ascii="Times New Roman" w:hAnsi="Times New Roman"/>
          <w:sz w:val="28"/>
          <w:szCs w:val="28"/>
        </w:rPr>
        <w:t>3</w:t>
      </w:r>
      <w:proofErr w:type="gramStart"/>
      <w:r w:rsidR="00881EC4" w:rsidRPr="007574F4">
        <w:rPr>
          <w:rFonts w:ascii="Times New Roman" w:hAnsi="Times New Roman"/>
          <w:sz w:val="28"/>
          <w:szCs w:val="28"/>
        </w:rPr>
        <w:t> </w:t>
      </w:r>
      <w:r w:rsidR="00134DEC" w:rsidRPr="007574F4">
        <w:rPr>
          <w:rFonts w:ascii="Times New Roman" w:hAnsi="Times New Roman"/>
          <w:sz w:val="28"/>
          <w:szCs w:val="28"/>
        </w:rPr>
        <w:t>В</w:t>
      </w:r>
      <w:proofErr w:type="gramEnd"/>
      <w:r w:rsidR="00134DEC" w:rsidRPr="007574F4">
        <w:rPr>
          <w:rFonts w:ascii="Times New Roman" w:hAnsi="Times New Roman"/>
          <w:sz w:val="28"/>
          <w:szCs w:val="28"/>
        </w:rPr>
        <w:t xml:space="preserve"> целях обеспечения эффективного мониторинга и контроля реализации всех мероприятий </w:t>
      </w:r>
      <w:r w:rsidR="00C8634B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="00134DEC" w:rsidRPr="007574F4">
        <w:rPr>
          <w:rFonts w:ascii="Times New Roman" w:hAnsi="Times New Roman"/>
          <w:sz w:val="28"/>
          <w:szCs w:val="28"/>
        </w:rPr>
        <w:t>программы ответстве</w:t>
      </w:r>
      <w:r w:rsidR="00C8634B" w:rsidRPr="007574F4">
        <w:rPr>
          <w:rFonts w:ascii="Times New Roman" w:hAnsi="Times New Roman"/>
          <w:sz w:val="28"/>
          <w:szCs w:val="28"/>
        </w:rPr>
        <w:t>нный исполнитель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 вместе с соисполнителя</w:t>
      </w:r>
      <w:r w:rsidR="00C8634B" w:rsidRPr="007574F4">
        <w:rPr>
          <w:rFonts w:ascii="Times New Roman" w:hAnsi="Times New Roman"/>
          <w:sz w:val="28"/>
          <w:szCs w:val="28"/>
        </w:rPr>
        <w:t>ми и участниками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 разрабатывает детальный план-график реализации</w:t>
      </w:r>
      <w:r w:rsidR="00C8634B" w:rsidRPr="007574F4">
        <w:rPr>
          <w:rFonts w:ascii="Times New Roman" w:hAnsi="Times New Roman"/>
          <w:sz w:val="28"/>
          <w:szCs w:val="28"/>
        </w:rPr>
        <w:t xml:space="preserve"> муниципальной  </w:t>
      </w:r>
      <w:r w:rsidR="00134DEC" w:rsidRPr="007574F4">
        <w:rPr>
          <w:rFonts w:ascii="Times New Roman" w:hAnsi="Times New Roman"/>
          <w:sz w:val="28"/>
          <w:szCs w:val="28"/>
        </w:rPr>
        <w:t>программы на очередной год и плановый период (далее - детальный план-график), содержащий полный пере</w:t>
      </w:r>
      <w:r w:rsidR="00C8634B" w:rsidRPr="007574F4">
        <w:rPr>
          <w:rFonts w:ascii="Times New Roman" w:hAnsi="Times New Roman"/>
          <w:sz w:val="28"/>
          <w:szCs w:val="28"/>
        </w:rPr>
        <w:t>чень мероприятий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 на очередной год, а также полный перечень контрольных событий программы.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4178C1" w:rsidRPr="007574F4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134DEC" w:rsidRPr="007574F4" w:rsidRDefault="00A2788B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Д</w:t>
      </w:r>
      <w:r w:rsidR="00134DEC" w:rsidRPr="007574F4">
        <w:rPr>
          <w:rFonts w:ascii="Times New Roman" w:hAnsi="Times New Roman"/>
          <w:sz w:val="28"/>
          <w:szCs w:val="28"/>
        </w:rPr>
        <w:t>етальный план-график утверждается ответствен</w:t>
      </w:r>
      <w:r w:rsidR="00C8634B" w:rsidRPr="007574F4">
        <w:rPr>
          <w:rFonts w:ascii="Times New Roman" w:hAnsi="Times New Roman"/>
          <w:sz w:val="28"/>
          <w:szCs w:val="28"/>
        </w:rPr>
        <w:t>ным исполнителем муниципальной</w:t>
      </w:r>
      <w:r w:rsidR="00134DEC" w:rsidRPr="007574F4">
        <w:rPr>
          <w:rFonts w:ascii="Times New Roman" w:hAnsi="Times New Roman"/>
          <w:sz w:val="28"/>
          <w:szCs w:val="28"/>
        </w:rPr>
        <w:t xml:space="preserve"> программы. </w:t>
      </w:r>
    </w:p>
    <w:p w:rsidR="00585447" w:rsidRPr="007574F4" w:rsidRDefault="00585447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В детальном плане-гр</w:t>
      </w:r>
      <w:r w:rsidR="00C8634B" w:rsidRPr="007574F4">
        <w:rPr>
          <w:rFonts w:ascii="Times New Roman" w:hAnsi="Times New Roman"/>
          <w:sz w:val="28"/>
          <w:szCs w:val="28"/>
        </w:rPr>
        <w:t>афике реализации 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 выделяются все контрольные события программы. </w:t>
      </w:r>
    </w:p>
    <w:p w:rsidR="00935786" w:rsidRPr="007574F4" w:rsidRDefault="00B441A2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35786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="00935786" w:rsidRPr="007574F4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="00935786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="00935786" w:rsidRPr="007574F4">
        <w:rPr>
          <w:rFonts w:ascii="Times New Roman" w:hAnsi="Times New Roman"/>
          <w:sz w:val="28"/>
          <w:szCs w:val="28"/>
        </w:rPr>
        <w:t xml:space="preserve">средств бюджета муниципального образования Мостовский район </w:t>
      </w:r>
      <w:r w:rsidR="00935786" w:rsidRPr="007574F4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230EC9" w:rsidRPr="007574F4" w:rsidRDefault="00832FFA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230EC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30EC9" w:rsidRPr="007574F4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12"/>
      <w:r w:rsidRPr="001C276C">
        <w:rPr>
          <w:rFonts w:ascii="Times New Roman" w:hAnsi="Times New Roman"/>
          <w:sz w:val="28"/>
          <w:szCs w:val="28"/>
          <w:highlight w:val="yellow"/>
        </w:rPr>
        <w:t>Типов</w:t>
      </w:r>
      <w:r w:rsidR="007574F4" w:rsidRPr="001C276C">
        <w:rPr>
          <w:rFonts w:ascii="Times New Roman" w:hAnsi="Times New Roman"/>
          <w:sz w:val="28"/>
          <w:szCs w:val="28"/>
          <w:highlight w:val="yellow"/>
        </w:rPr>
        <w:t>ые</w:t>
      </w:r>
      <w:r w:rsidRPr="001C276C">
        <w:rPr>
          <w:rFonts w:ascii="Times New Roman" w:hAnsi="Times New Roman"/>
          <w:sz w:val="28"/>
          <w:szCs w:val="28"/>
          <w:highlight w:val="yellow"/>
        </w:rPr>
        <w:t xml:space="preserve"> макет</w:t>
      </w:r>
      <w:r w:rsidR="007574F4" w:rsidRPr="001C276C">
        <w:rPr>
          <w:rFonts w:ascii="Times New Roman" w:hAnsi="Times New Roman"/>
          <w:sz w:val="28"/>
          <w:szCs w:val="28"/>
          <w:highlight w:val="yellow"/>
        </w:rPr>
        <w:t>ы</w:t>
      </w:r>
      <w:r w:rsidRPr="001C276C">
        <w:rPr>
          <w:rFonts w:ascii="Times New Roman" w:hAnsi="Times New Roman"/>
          <w:sz w:val="28"/>
          <w:szCs w:val="28"/>
          <w:highlight w:val="yellow"/>
        </w:rPr>
        <w:t xml:space="preserve"> форм </w:t>
      </w:r>
      <w:proofErr w:type="gramStart"/>
      <w:r w:rsidRPr="001C276C">
        <w:rPr>
          <w:rFonts w:ascii="Times New Roman" w:hAnsi="Times New Roman"/>
          <w:sz w:val="28"/>
          <w:szCs w:val="28"/>
          <w:highlight w:val="yellow"/>
        </w:rPr>
        <w:t>по</w:t>
      </w:r>
      <w:proofErr w:type="gramEnd"/>
      <w:r w:rsidRPr="001C276C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1C276C">
        <w:rPr>
          <w:rFonts w:ascii="Times New Roman" w:hAnsi="Times New Roman"/>
          <w:sz w:val="28"/>
          <w:szCs w:val="28"/>
          <w:highlight w:val="yellow"/>
        </w:rPr>
        <w:t>мониторинг</w:t>
      </w:r>
      <w:r w:rsidR="007574F4" w:rsidRPr="001C276C">
        <w:rPr>
          <w:rFonts w:ascii="Times New Roman" w:hAnsi="Times New Roman"/>
          <w:sz w:val="28"/>
          <w:szCs w:val="28"/>
          <w:highlight w:val="yellow"/>
        </w:rPr>
        <w:t>а</w:t>
      </w:r>
      <w:proofErr w:type="gramEnd"/>
      <w:r w:rsidRPr="001C276C">
        <w:rPr>
          <w:rFonts w:ascii="Times New Roman" w:hAnsi="Times New Roman"/>
          <w:sz w:val="28"/>
          <w:szCs w:val="28"/>
          <w:highlight w:val="yellow"/>
        </w:rPr>
        <w:t xml:space="preserve"> хода реализации муниципальной программы представлен</w:t>
      </w:r>
      <w:r w:rsidR="007574F4" w:rsidRPr="001C276C">
        <w:rPr>
          <w:rFonts w:ascii="Times New Roman" w:hAnsi="Times New Roman"/>
          <w:sz w:val="28"/>
          <w:szCs w:val="28"/>
          <w:highlight w:val="yellow"/>
        </w:rPr>
        <w:t>ы</w:t>
      </w:r>
      <w:r w:rsidRPr="001C276C">
        <w:rPr>
          <w:rFonts w:ascii="Times New Roman" w:hAnsi="Times New Roman"/>
          <w:sz w:val="28"/>
          <w:szCs w:val="28"/>
          <w:highlight w:val="yellow"/>
        </w:rPr>
        <w:t xml:space="preserve"> в </w:t>
      </w:r>
      <w:hyperlink w:anchor="sub_22" w:history="1">
        <w:r w:rsidRPr="001C276C">
          <w:rPr>
            <w:rStyle w:val="ae"/>
            <w:rFonts w:ascii="Times New Roman" w:hAnsi="Times New Roman"/>
            <w:color w:val="auto"/>
            <w:sz w:val="28"/>
            <w:szCs w:val="28"/>
            <w:highlight w:val="yellow"/>
          </w:rPr>
          <w:t>приложени</w:t>
        </w:r>
        <w:r w:rsidR="007574F4" w:rsidRPr="001C276C">
          <w:rPr>
            <w:rStyle w:val="ae"/>
            <w:rFonts w:ascii="Times New Roman" w:hAnsi="Times New Roman"/>
            <w:color w:val="auto"/>
            <w:sz w:val="28"/>
            <w:szCs w:val="28"/>
            <w:highlight w:val="yellow"/>
          </w:rPr>
          <w:t>ях</w:t>
        </w:r>
        <w:r w:rsidRPr="001C276C">
          <w:rPr>
            <w:rStyle w:val="ae"/>
            <w:rFonts w:ascii="Times New Roman" w:hAnsi="Times New Roman"/>
            <w:color w:val="auto"/>
            <w:sz w:val="28"/>
            <w:szCs w:val="28"/>
            <w:highlight w:val="yellow"/>
          </w:rPr>
          <w:t xml:space="preserve"> </w:t>
        </w:r>
        <w:r w:rsidR="007574F4" w:rsidRPr="001C276C">
          <w:rPr>
            <w:rStyle w:val="ae"/>
            <w:rFonts w:ascii="Times New Roman" w:hAnsi="Times New Roman"/>
            <w:color w:val="auto"/>
            <w:sz w:val="28"/>
            <w:szCs w:val="28"/>
            <w:highlight w:val="yellow"/>
          </w:rPr>
          <w:t>№8,9,10</w:t>
        </w:r>
      </w:hyperlink>
      <w:r w:rsidRPr="001C276C">
        <w:rPr>
          <w:rFonts w:ascii="Times New Roman" w:hAnsi="Times New Roman"/>
          <w:sz w:val="28"/>
          <w:szCs w:val="28"/>
          <w:highlight w:val="yellow"/>
        </w:rPr>
        <w:t xml:space="preserve"> к настоящему Порядку.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FE1">
        <w:rPr>
          <w:rFonts w:ascii="Times New Roman" w:hAnsi="Times New Roman"/>
          <w:sz w:val="28"/>
          <w:szCs w:val="28"/>
          <w:highlight w:val="yellow"/>
        </w:rPr>
        <w:t>Формы по мониторингу хода реализации муниципальных программ ежеквартально, до 25-го числа месяца</w:t>
      </w:r>
      <w:r w:rsidRPr="007574F4">
        <w:rPr>
          <w:rFonts w:ascii="Times New Roman" w:hAnsi="Times New Roman"/>
          <w:sz w:val="28"/>
          <w:szCs w:val="28"/>
        </w:rPr>
        <w:t xml:space="preserve">, следующего за последним месяцем отчетного квартала, представляются всеми </w:t>
      </w:r>
      <w:r w:rsidR="00935786" w:rsidRPr="007574F4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7574F4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7574F4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7574F4">
        <w:rPr>
          <w:rFonts w:ascii="Times New Roman" w:hAnsi="Times New Roman"/>
          <w:sz w:val="28"/>
          <w:szCs w:val="28"/>
        </w:rPr>
        <w:t xml:space="preserve">в  управление экономики, </w:t>
      </w:r>
      <w:r w:rsidRPr="007574F4">
        <w:rPr>
          <w:rFonts w:ascii="Times New Roman" w:hAnsi="Times New Roman"/>
          <w:sz w:val="28"/>
          <w:szCs w:val="28"/>
        </w:rPr>
        <w:lastRenderedPageBreak/>
        <w:t xml:space="preserve">инвестиций, туризма, торговли и сферы услуг  администрации муниципального образования Мостовский район. </w:t>
      </w:r>
    </w:p>
    <w:p w:rsidR="00230EC9" w:rsidRPr="007574F4" w:rsidRDefault="00230EC9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935786" w:rsidRPr="007574F4" w:rsidRDefault="00935786" w:rsidP="009357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4.4  Финансовое управление администрации муниципального образования Мостовский район представляет ежемесячно, до 10-го числа, в управление экономики информацию об исполнении главными распорядителями средств районного бюджета бюджетных назначений на реализацию муниципальных программ.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2"/>
      <w:r w:rsidRPr="007574F4">
        <w:rPr>
          <w:rFonts w:ascii="Times New Roman" w:hAnsi="Times New Roman"/>
          <w:sz w:val="28"/>
          <w:szCs w:val="28"/>
        </w:rPr>
        <w:t xml:space="preserve"> 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Pr="007574F4">
        <w:rPr>
          <w:rFonts w:ascii="Times New Roman" w:hAnsi="Times New Roman"/>
          <w:sz w:val="28"/>
          <w:szCs w:val="28"/>
        </w:rPr>
        <w:t>5</w:t>
      </w:r>
      <w:r w:rsidR="00230EC9" w:rsidRPr="007574F4">
        <w:rPr>
          <w:rFonts w:ascii="Times New Roman" w:hAnsi="Times New Roman"/>
          <w:sz w:val="28"/>
          <w:szCs w:val="28"/>
        </w:rPr>
        <w:t xml:space="preserve"> Отчеты по мониторингу </w:t>
      </w:r>
      <w:r w:rsidR="00935786" w:rsidRPr="007574F4"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230EC9" w:rsidRPr="007574F4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7574F4">
        <w:rPr>
          <w:rFonts w:ascii="Times New Roman" w:hAnsi="Times New Roman"/>
          <w:sz w:val="28"/>
          <w:szCs w:val="28"/>
        </w:rPr>
        <w:t>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программ,  </w:t>
      </w:r>
      <w:r w:rsidRPr="007574F4">
        <w:rPr>
          <w:rFonts w:ascii="Times New Roman" w:hAnsi="Times New Roman"/>
          <w:sz w:val="28"/>
          <w:szCs w:val="28"/>
        </w:rPr>
        <w:t>проводимой в соответствии с</w:t>
      </w:r>
      <w:r w:rsidR="00230EC9" w:rsidRPr="007574F4">
        <w:rPr>
          <w:rFonts w:ascii="Times New Roman" w:hAnsi="Times New Roman"/>
          <w:sz w:val="28"/>
          <w:szCs w:val="28"/>
        </w:rPr>
        <w:t xml:space="preserve">  Методик</w:t>
      </w:r>
      <w:r w:rsidRPr="007574F4">
        <w:rPr>
          <w:rFonts w:ascii="Times New Roman" w:hAnsi="Times New Roman"/>
          <w:sz w:val="28"/>
          <w:szCs w:val="28"/>
        </w:rPr>
        <w:t>ой</w:t>
      </w:r>
      <w:r w:rsidR="00230EC9" w:rsidRPr="007574F4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3 к настоящему постановлению</w:t>
      </w:r>
      <w:r w:rsidR="00230EC9" w:rsidRPr="007574F4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3"/>
      <w:bookmarkEnd w:id="2"/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Pr="007574F4">
        <w:rPr>
          <w:rFonts w:ascii="Times New Roman" w:hAnsi="Times New Roman"/>
          <w:sz w:val="28"/>
          <w:szCs w:val="28"/>
        </w:rPr>
        <w:t>6</w:t>
      </w:r>
      <w:r w:rsidR="00230EC9" w:rsidRPr="007574F4">
        <w:rPr>
          <w:rFonts w:ascii="Times New Roman" w:hAnsi="Times New Roman"/>
          <w:sz w:val="28"/>
          <w:szCs w:val="28"/>
        </w:rPr>
        <w:t xml:space="preserve"> Данные о выполнении </w:t>
      </w:r>
      <w:r w:rsidR="00935786" w:rsidRPr="007574F4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7574F4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7574F4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7574F4">
        <w:rPr>
          <w:rFonts w:ascii="Times New Roman" w:hAnsi="Times New Roman"/>
          <w:sz w:val="28"/>
          <w:szCs w:val="28"/>
        </w:rPr>
        <w:t>в управление экономики, инвестиций, туризма, торговли и сферы услуг  администрации муниципального образования Мостовский район.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4"/>
      <w:bookmarkEnd w:id="3"/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Pr="007574F4">
        <w:rPr>
          <w:rFonts w:ascii="Times New Roman" w:hAnsi="Times New Roman"/>
          <w:sz w:val="28"/>
          <w:szCs w:val="28"/>
        </w:rPr>
        <w:t>7</w:t>
      </w:r>
      <w:r w:rsidR="00230EC9" w:rsidRPr="007574F4">
        <w:rPr>
          <w:rFonts w:ascii="Times New Roman" w:hAnsi="Times New Roman"/>
          <w:sz w:val="28"/>
          <w:szCs w:val="28"/>
        </w:rPr>
        <w:t xml:space="preserve"> </w:t>
      </w:r>
      <w:r w:rsidR="00935786" w:rsidRPr="007574F4">
        <w:rPr>
          <w:rFonts w:ascii="Times New Roman" w:hAnsi="Times New Roman"/>
          <w:sz w:val="28"/>
          <w:szCs w:val="28"/>
        </w:rPr>
        <w:t>Ответственные исполнители</w:t>
      </w:r>
      <w:r w:rsidR="008127F2" w:rsidRPr="007574F4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7574F4">
        <w:rPr>
          <w:rFonts w:ascii="Times New Roman" w:hAnsi="Times New Roman"/>
          <w:sz w:val="28"/>
          <w:szCs w:val="28"/>
        </w:rPr>
        <w:t xml:space="preserve"> несут ответственность за достоверность данных о ходе реализации </w:t>
      </w:r>
      <w:r w:rsidR="008127F2" w:rsidRPr="007574F4">
        <w:rPr>
          <w:rFonts w:ascii="Times New Roman" w:hAnsi="Times New Roman"/>
          <w:sz w:val="28"/>
          <w:szCs w:val="28"/>
        </w:rPr>
        <w:t>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055"/>
      <w:bookmarkEnd w:id="4"/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Pr="007574F4">
        <w:rPr>
          <w:rFonts w:ascii="Times New Roman" w:hAnsi="Times New Roman"/>
          <w:sz w:val="28"/>
          <w:szCs w:val="28"/>
        </w:rPr>
        <w:t>8</w:t>
      </w:r>
      <w:r w:rsidR="00230EC9" w:rsidRPr="007574F4">
        <w:rPr>
          <w:rFonts w:ascii="Times New Roman" w:hAnsi="Times New Roman"/>
          <w:sz w:val="28"/>
          <w:szCs w:val="28"/>
        </w:rPr>
        <w:t xml:space="preserve"> Управление экономики, инвестиций, туризма, торговли и сферы услуг  администрации муниципального образования Мостовский район готовит </w:t>
      </w:r>
      <w:r w:rsidR="008127F2" w:rsidRPr="007574F4">
        <w:rPr>
          <w:rFonts w:ascii="Times New Roman" w:hAnsi="Times New Roman"/>
          <w:sz w:val="28"/>
          <w:szCs w:val="28"/>
        </w:rPr>
        <w:t xml:space="preserve"> </w:t>
      </w:r>
      <w:r w:rsidR="00230EC9" w:rsidRPr="007574F4">
        <w:rPr>
          <w:rFonts w:ascii="Times New Roman" w:hAnsi="Times New Roman"/>
          <w:sz w:val="28"/>
          <w:szCs w:val="28"/>
        </w:rPr>
        <w:t xml:space="preserve">сводный отчет о финансировании, итогах и эффективности реализации мероприятий </w:t>
      </w:r>
      <w:r w:rsidR="008127F2" w:rsidRPr="007574F4">
        <w:rPr>
          <w:rFonts w:ascii="Times New Roman" w:hAnsi="Times New Roman"/>
          <w:sz w:val="28"/>
          <w:szCs w:val="28"/>
        </w:rPr>
        <w:t>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 и представляет его на рассмотрение  районного </w:t>
      </w:r>
      <w:hyperlink r:id="rId8" w:history="1">
        <w:r w:rsidR="00230EC9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7574F4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5"/>
    <w:p w:rsidR="00230EC9" w:rsidRPr="007574F4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</w:t>
      </w:r>
      <w:r w:rsidR="00230EC9" w:rsidRPr="007574F4">
        <w:rPr>
          <w:rFonts w:ascii="Times New Roman" w:hAnsi="Times New Roman"/>
          <w:sz w:val="28"/>
          <w:szCs w:val="28"/>
        </w:rPr>
        <w:t>.</w:t>
      </w:r>
      <w:r w:rsidRPr="007574F4">
        <w:rPr>
          <w:rFonts w:ascii="Times New Roman" w:hAnsi="Times New Roman"/>
          <w:sz w:val="28"/>
          <w:szCs w:val="28"/>
        </w:rPr>
        <w:t>9</w:t>
      </w:r>
      <w:r w:rsidR="00230EC9" w:rsidRPr="007574F4">
        <w:rPr>
          <w:rFonts w:ascii="Times New Roman" w:hAnsi="Times New Roman"/>
          <w:sz w:val="28"/>
          <w:szCs w:val="28"/>
        </w:rPr>
        <w:t xml:space="preserve"> Основные сведения из отчета публикуются в общедоступных средствах массовой информации, в том числе в сети "Интернет".</w:t>
      </w:r>
    </w:p>
    <w:p w:rsidR="00230EC9" w:rsidRPr="007574F4" w:rsidRDefault="008C4F3B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  </w:t>
      </w:r>
      <w:r w:rsidR="00B441A2" w:rsidRPr="007574F4">
        <w:rPr>
          <w:rFonts w:ascii="Times New Roman" w:hAnsi="Times New Roman"/>
          <w:sz w:val="28"/>
          <w:szCs w:val="28"/>
        </w:rPr>
        <w:t>4.10</w:t>
      </w:r>
      <w:proofErr w:type="gramStart"/>
      <w:r w:rsidR="00230EC9" w:rsidRPr="007574F4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230EC9" w:rsidRPr="007574F4">
        <w:rPr>
          <w:rFonts w:ascii="Times New Roman" w:hAnsi="Times New Roman"/>
          <w:sz w:val="28"/>
          <w:szCs w:val="28"/>
        </w:rPr>
        <w:t xml:space="preserve">а основании результатов мониторинга </w:t>
      </w:r>
      <w:r w:rsidR="008127F2" w:rsidRPr="007574F4">
        <w:rPr>
          <w:rFonts w:ascii="Times New Roman" w:hAnsi="Times New Roman"/>
          <w:sz w:val="28"/>
          <w:szCs w:val="28"/>
        </w:rPr>
        <w:t xml:space="preserve">и оценки эффективности муниципальных 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программ, представленных управлением экономики Мостовского района, районным Советом муниципального образования Мостовский район      могут быть вынесены следующие решения: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об увеличении доли районного бюджета в финансировании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приостановлении реализации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A63211" w:rsidRPr="007574F4" w:rsidRDefault="00A63211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3E98" w:rsidRPr="007574F4" w:rsidRDefault="00D03E98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57233" w:rsidRPr="007574F4" w:rsidRDefault="006972F4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 инвестиций,</w:t>
      </w:r>
    </w:p>
    <w:p w:rsidR="00FF52EE" w:rsidRPr="007574F4" w:rsidRDefault="006972F4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торговли и сферы услуг                                          </w:t>
      </w:r>
      <w:r w:rsidR="00FF52EE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</w:t>
      </w:r>
      <w:r w:rsidR="00022E7E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proofErr w:type="spellStart"/>
      <w:r w:rsidR="00FF52EE" w:rsidRPr="007574F4">
        <w:rPr>
          <w:rFonts w:ascii="Times New Roman" w:hAnsi="Times New Roman"/>
          <w:sz w:val="28"/>
          <w:szCs w:val="28"/>
          <w:shd w:val="clear" w:color="auto" w:fill="FFFFFF"/>
        </w:rPr>
        <w:t>О.В.Денисова</w:t>
      </w:r>
      <w:proofErr w:type="spellEnd"/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817"/>
        <w:gridCol w:w="4349"/>
      </w:tblGrid>
      <w:tr w:rsidR="00EB3C05" w:rsidRPr="007574F4" w:rsidTr="00AB7B94">
        <w:tc>
          <w:tcPr>
            <w:tcW w:w="5817" w:type="dxa"/>
            <w:shd w:val="clear" w:color="auto" w:fill="auto"/>
          </w:tcPr>
          <w:p w:rsidR="00EB3C05" w:rsidRPr="007574F4" w:rsidRDefault="00EB3C05" w:rsidP="0035232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9" w:type="dxa"/>
            <w:shd w:val="clear" w:color="auto" w:fill="auto"/>
          </w:tcPr>
          <w:p w:rsidR="00EB3C05" w:rsidRPr="007574F4" w:rsidRDefault="00EB3C05" w:rsidP="0035232C">
            <w:pPr>
              <w:spacing w:after="0" w:line="228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C05" w:rsidRPr="007574F4" w:rsidRDefault="00EB3C05" w:rsidP="008127F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3C05" w:rsidRPr="007574F4" w:rsidSect="00C52AC6">
      <w:headerReference w:type="default" r:id="rId9"/>
      <w:pgSz w:w="11906" w:h="16838"/>
      <w:pgMar w:top="1134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D6" w:rsidRDefault="006D4FD6" w:rsidP="005034F4">
      <w:pPr>
        <w:spacing w:after="0" w:line="240" w:lineRule="auto"/>
      </w:pPr>
      <w:r>
        <w:separator/>
      </w:r>
    </w:p>
  </w:endnote>
  <w:endnote w:type="continuationSeparator" w:id="0">
    <w:p w:rsidR="006D4FD6" w:rsidRDefault="006D4FD6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D6" w:rsidRDefault="006D4FD6" w:rsidP="005034F4">
      <w:pPr>
        <w:spacing w:after="0" w:line="240" w:lineRule="auto"/>
      </w:pPr>
      <w:r>
        <w:separator/>
      </w:r>
    </w:p>
  </w:footnote>
  <w:footnote w:type="continuationSeparator" w:id="0">
    <w:p w:rsidR="006D4FD6" w:rsidRDefault="006D4FD6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EE" w:rsidRPr="005034F4" w:rsidRDefault="001664B2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626BE2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76C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249F0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55B80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26BE2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B1E42"/>
    <w:rsid w:val="006B2534"/>
    <w:rsid w:val="006B37C3"/>
    <w:rsid w:val="006B6E2E"/>
    <w:rsid w:val="006C5746"/>
    <w:rsid w:val="006D099F"/>
    <w:rsid w:val="006D4E35"/>
    <w:rsid w:val="006D4FD6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6FE1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520A"/>
    <w:rsid w:val="00CC598F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322D0"/>
    <w:rsid w:val="00E373C5"/>
    <w:rsid w:val="00E37D1F"/>
    <w:rsid w:val="00E42941"/>
    <w:rsid w:val="00E45512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7802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3F8C-BEF4-4A6A-BF2E-8ADD0B6E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1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30129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15</cp:revision>
  <cp:lastPrinted>2014-10-07T05:36:00Z</cp:lastPrinted>
  <dcterms:created xsi:type="dcterms:W3CDTF">2014-05-13T11:09:00Z</dcterms:created>
  <dcterms:modified xsi:type="dcterms:W3CDTF">2014-10-07T06:03:00Z</dcterms:modified>
</cp:coreProperties>
</file>