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A0"/>
      </w:tblPr>
      <w:tblGrid>
        <w:gridCol w:w="4361"/>
        <w:gridCol w:w="5670"/>
      </w:tblGrid>
      <w:tr w:rsidR="003B6C53" w:rsidRPr="00065745" w:rsidTr="00D6580C">
        <w:tc>
          <w:tcPr>
            <w:tcW w:w="4361" w:type="dxa"/>
          </w:tcPr>
          <w:p w:rsidR="003B6C53" w:rsidRPr="00065745" w:rsidRDefault="003B6C53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3B6C53" w:rsidRPr="00065745" w:rsidRDefault="003B6C53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3B6C53" w:rsidRPr="00065745" w:rsidRDefault="003B6C53" w:rsidP="00131D4E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5745">
              <w:rPr>
                <w:rFonts w:ascii="Times New Roman" w:hAnsi="Times New Roman"/>
                <w:sz w:val="28"/>
                <w:szCs w:val="28"/>
              </w:rPr>
              <w:t>ПРИЛОЖЕНИЕ № 6</w:t>
            </w:r>
          </w:p>
          <w:p w:rsidR="003B6C53" w:rsidRPr="00065745" w:rsidRDefault="003B6C53" w:rsidP="00131D4E">
            <w:pPr>
              <w:spacing w:after="0" w:line="228" w:lineRule="auto"/>
              <w:jc w:val="center"/>
              <w:rPr>
                <w:sz w:val="28"/>
                <w:szCs w:val="28"/>
              </w:rPr>
            </w:pPr>
            <w:r w:rsidRPr="0006574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065745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Махошевского</w:t>
            </w:r>
            <w:r w:rsidRPr="00065745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065745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  <w:r w:rsidRPr="00065745">
              <w:rPr>
                <w:sz w:val="28"/>
                <w:szCs w:val="28"/>
              </w:rPr>
              <w:t xml:space="preserve"> </w:t>
            </w:r>
          </w:p>
        </w:tc>
      </w:tr>
    </w:tbl>
    <w:p w:rsidR="003B6C53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6C53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ПОРЯДОК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проведения публичного обсуждения проектов муниципальных программ </w:t>
      </w:r>
      <w:r>
        <w:rPr>
          <w:rFonts w:ascii="Times New Roman" w:hAnsi="Times New Roman"/>
          <w:b/>
          <w:bCs/>
          <w:kern w:val="36"/>
          <w:sz w:val="28"/>
          <w:szCs w:val="28"/>
        </w:rPr>
        <w:t>Махошевского</w:t>
      </w:r>
      <w:r w:rsidRPr="00131D4E">
        <w:rPr>
          <w:rFonts w:ascii="Times New Roman" w:hAnsi="Times New Roman"/>
          <w:b/>
          <w:bCs/>
          <w:kern w:val="36"/>
          <w:sz w:val="28"/>
          <w:szCs w:val="28"/>
        </w:rPr>
        <w:t xml:space="preserve"> сельского поселения</w:t>
      </w:r>
      <w:r w:rsidRPr="00131D4E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</w:p>
    <w:p w:rsidR="003B6C53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1.Для целей настоящего Порядка применяются следующие понятия и термины: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- публичное обсуждение проекта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 – форма реализации прав населения края (общественности) на участие в процессе принятия решений администрации </w:t>
      </w:r>
      <w:r>
        <w:rPr>
          <w:rFonts w:ascii="Times New Roman" w:hAnsi="Times New Roman"/>
          <w:sz w:val="28"/>
          <w:szCs w:val="28"/>
        </w:rPr>
        <w:t>Махошевского</w:t>
      </w:r>
      <w:r w:rsidRPr="00131D4E">
        <w:rPr>
          <w:rFonts w:ascii="Times New Roman" w:hAnsi="Times New Roman"/>
          <w:sz w:val="28"/>
          <w:szCs w:val="28"/>
        </w:rPr>
        <w:t xml:space="preserve"> сельского поселения Мостовского района</w:t>
      </w:r>
      <w:r>
        <w:rPr>
          <w:rFonts w:ascii="Times New Roman" w:hAnsi="Times New Roman"/>
          <w:sz w:val="28"/>
          <w:szCs w:val="28"/>
        </w:rPr>
        <w:t xml:space="preserve"> (далее – администрация поселения)</w:t>
      </w:r>
      <w:r w:rsidRPr="00131D4E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 об утверждении муниципальных программ;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- представитель общественности</w:t>
      </w:r>
      <w:r w:rsidRPr="00131D4E">
        <w:rPr>
          <w:rFonts w:ascii="Times New Roman" w:hAnsi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поселения.  </w:t>
      </w:r>
    </w:p>
    <w:p w:rsidR="003B6C53" w:rsidRPr="00131D4E" w:rsidRDefault="003B6C53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2.Публичное обсуждение проекта муниципальной программы осуществляется</w:t>
      </w:r>
      <w:r w:rsidRPr="00131D4E">
        <w:rPr>
          <w:b/>
          <w:i/>
          <w:sz w:val="28"/>
          <w:szCs w:val="28"/>
        </w:rPr>
        <w:t xml:space="preserve"> </w:t>
      </w:r>
      <w:r w:rsidRPr="00131D4E">
        <w:rPr>
          <w:rFonts w:ascii="Times New Roman" w:hAnsi="Times New Roman"/>
          <w:sz w:val="28"/>
          <w:szCs w:val="28"/>
        </w:rPr>
        <w:t>главным распорядителем средств бюджета поселения, разработавшим проект муниципальной программы (далее – ответственный исполнитель муниципальной программы) после направления проекта муниципальной программы на экспертизу в управление экономики, инвестиций, туризма, торговли и сферы услуг, контрольно-счетную палату муниципального образования Мостовский район.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3.Публичное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4.Публичное обсуждение проекта муниципальной программы проводится в течение 7 рабочих дней со дня его размещения на официальном сайте.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5.Одновременно с размещением текста проекта муниципальной программы на официальном сайте размещается следующая информация: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 срок начала и завершения проведения публичного обсуждения проекта муниципальной программы;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 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3B6C53" w:rsidRDefault="003B6C53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 требования к замечаниям и предложениям представителей общественности к проекту муниципальной программы.</w:t>
      </w:r>
    </w:p>
    <w:p w:rsidR="003B6C53" w:rsidRPr="006171F0" w:rsidRDefault="003B6C53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6.Публичное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 59-ФЗ «О порядке рассмотрения обращений граждан Российской Федерации».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 59-ФЗ «О порядке рассмотрения обращений граждан Российской Федерации».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7.После истечения срока публичного обсуждения проекта муниципальной программы, указанного в пункте 4 настоящего Порядка, ответственный исполнитель муниципальной программы выполняет одно из следующих действий: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 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- оставляет проект муниципальной программы без изменений.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8.После истечения срока публичного обсуждения проекта муниципальной программы, указанного в пункте 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Порядку.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B6C53" w:rsidRPr="00131D4E" w:rsidRDefault="003B6C53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B6C53" w:rsidRPr="00C71127" w:rsidRDefault="003B6C53" w:rsidP="006171F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Н.С.Грюкова</w:t>
      </w:r>
    </w:p>
    <w:p w:rsidR="003B6C53" w:rsidRDefault="003B6C53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Default="003B6C53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Default="003B6C53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Default="003B6C53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Pr="00131D4E" w:rsidRDefault="003B6C53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Pr="006171F0" w:rsidRDefault="003B6C5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Приложение</w:t>
      </w:r>
    </w:p>
    <w:p w:rsidR="003B6C53" w:rsidRPr="006171F0" w:rsidRDefault="003B6C5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 Порядку проведения публичного </w:t>
      </w:r>
    </w:p>
    <w:p w:rsidR="003B6C53" w:rsidRPr="006171F0" w:rsidRDefault="003B6C5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3B6C53" w:rsidRPr="006171F0" w:rsidRDefault="003B6C5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программ</w:t>
      </w:r>
    </w:p>
    <w:p w:rsidR="003B6C53" w:rsidRPr="00131D4E" w:rsidRDefault="003B6C53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6C53" w:rsidRPr="006171F0" w:rsidRDefault="003B6C53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6C53" w:rsidRPr="006171F0" w:rsidRDefault="003B6C53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3B6C53" w:rsidRPr="006171F0" w:rsidRDefault="003B6C53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3B6C53" w:rsidRDefault="003B6C53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B6C53" w:rsidRPr="00A20B95" w:rsidRDefault="003B6C53" w:rsidP="00A20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0B9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3B6C53" w:rsidRPr="006171F0" w:rsidRDefault="003B6C53" w:rsidP="00A20B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Наименование проекта муниципальной программы</w:t>
      </w:r>
    </w:p>
    <w:p w:rsidR="003B6C53" w:rsidRPr="006171F0" w:rsidRDefault="003B6C53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B6C53" w:rsidRPr="006171F0" w:rsidRDefault="003B6C53" w:rsidP="00A20B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Наименование ответственного исполнителя  муниципальной программы                             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B6C53" w:rsidRPr="006171F0" w:rsidRDefault="003B6C53" w:rsidP="00A20B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Даты начала и окончания публичного обсуждения                                     _______________________________________________________________________________</w:t>
      </w:r>
    </w:p>
    <w:p w:rsidR="003B6C53" w:rsidRPr="006171F0" w:rsidRDefault="003B6C53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Место размещения проекта  муниципальной программы (наименование официального сайта (раздела в сайте) в сети Интернет)                              </w:t>
      </w:r>
    </w:p>
    <w:p w:rsidR="003B6C53" w:rsidRPr="00131D4E" w:rsidRDefault="003B6C53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690"/>
        <w:gridCol w:w="1650"/>
        <w:gridCol w:w="1980"/>
        <w:gridCol w:w="1719"/>
      </w:tblGrid>
      <w:tr w:rsidR="003B6C53" w:rsidRPr="00065745" w:rsidTr="00A20B95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 xml:space="preserve"> №</w:t>
            </w:r>
            <w:r w:rsidRPr="006171F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Автор замечания, предложения (полное и сокращенное  фирменное           </w:t>
            </w:r>
            <w:r w:rsidRPr="006171F0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Pr="006171F0">
              <w:rPr>
                <w:sz w:val="24"/>
                <w:szCs w:val="24"/>
              </w:rPr>
              <w:br/>
              <w:t xml:space="preserve"> лица/Ф.И.О., почтовый адрес физического лица)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  <w:t xml:space="preserve"> Содержание</w:t>
            </w:r>
          </w:p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замечания  </w:t>
            </w:r>
            <w:r w:rsidRPr="006171F0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Результат  </w:t>
            </w:r>
            <w:r w:rsidRPr="006171F0">
              <w:rPr>
                <w:sz w:val="24"/>
                <w:szCs w:val="24"/>
              </w:rPr>
              <w:br/>
              <w:t xml:space="preserve">рассмотрения </w:t>
            </w:r>
            <w:r w:rsidRPr="006171F0">
              <w:rPr>
                <w:sz w:val="24"/>
                <w:szCs w:val="24"/>
              </w:rPr>
              <w:br/>
              <w:t>(учтено/</w:t>
            </w:r>
          </w:p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Отклонено с </w:t>
            </w:r>
            <w:r w:rsidRPr="006171F0">
              <w:rPr>
                <w:sz w:val="24"/>
                <w:szCs w:val="24"/>
              </w:rPr>
              <w:br/>
              <w:t>обоснованием)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Примечание</w:t>
            </w:r>
          </w:p>
        </w:tc>
      </w:tr>
      <w:tr w:rsidR="003B6C53" w:rsidRPr="00065745" w:rsidTr="00A20B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3B6C53" w:rsidRPr="00065745" w:rsidTr="00A20B9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53" w:rsidRPr="00131D4E" w:rsidRDefault="003B6C53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3B6C53" w:rsidRPr="00065745" w:rsidTr="00A20B95">
        <w:trPr>
          <w:trHeight w:val="800"/>
          <w:tblCellSpacing w:w="5" w:type="nil"/>
        </w:trPr>
        <w:tc>
          <w:tcPr>
            <w:tcW w:w="5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C53" w:rsidRDefault="003B6C53" w:rsidP="006171F0">
            <w:pPr>
              <w:pStyle w:val="ConsPlusCell"/>
              <w:rPr>
                <w:sz w:val="24"/>
                <w:szCs w:val="24"/>
              </w:rPr>
            </w:pPr>
          </w:p>
          <w:p w:rsidR="003B6C53" w:rsidRDefault="003B6C53" w:rsidP="006171F0">
            <w:pPr>
              <w:pStyle w:val="ConsPlusCell"/>
              <w:rPr>
                <w:sz w:val="24"/>
                <w:szCs w:val="24"/>
              </w:rPr>
            </w:pPr>
          </w:p>
          <w:p w:rsidR="003B6C53" w:rsidRDefault="003B6C53" w:rsidP="006171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Махошевского сельского </w:t>
            </w:r>
          </w:p>
          <w:p w:rsidR="003B6C53" w:rsidRPr="006171F0" w:rsidRDefault="003B6C53" w:rsidP="006171F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 Мостовского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B6C53" w:rsidRPr="006171F0" w:rsidRDefault="003B6C53" w:rsidP="00D6580C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_____________</w:t>
            </w:r>
            <w:r w:rsidRPr="006171F0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71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B6C53" w:rsidRPr="006171F0" w:rsidRDefault="003B6C53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С.Н.Стацунов</w:t>
            </w:r>
            <w:r w:rsidRPr="006171F0">
              <w:rPr>
                <w:sz w:val="24"/>
                <w:szCs w:val="24"/>
              </w:rPr>
              <w:br/>
              <w:t>(Ф.И.О.)</w:t>
            </w:r>
          </w:p>
        </w:tc>
      </w:tr>
    </w:tbl>
    <w:p w:rsidR="003B6C53" w:rsidRPr="00131D4E" w:rsidRDefault="003B6C53" w:rsidP="00C25446">
      <w:pPr>
        <w:rPr>
          <w:rFonts w:ascii="Times New Roman" w:hAnsi="Times New Roman"/>
          <w:color w:val="FF0000"/>
          <w:sz w:val="24"/>
          <w:szCs w:val="24"/>
        </w:rPr>
      </w:pPr>
    </w:p>
    <w:p w:rsidR="003B6C53" w:rsidRPr="00131D4E" w:rsidRDefault="003B6C53" w:rsidP="00D00F8E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3B6C53" w:rsidRPr="00131D4E" w:rsidRDefault="003B6C53" w:rsidP="006171F0">
      <w:pPr>
        <w:shd w:val="clear" w:color="auto" w:fill="FFFFFF"/>
        <w:spacing w:after="0" w:line="315" w:lineRule="atLeast"/>
        <w:jc w:val="both"/>
        <w:textAlignment w:val="baseline"/>
        <w:rPr>
          <w:color w:val="FF0000"/>
        </w:rPr>
      </w:pPr>
    </w:p>
    <w:sectPr w:rsidR="003B6C53" w:rsidRPr="00131D4E" w:rsidSect="00780226">
      <w:headerReference w:type="default" r:id="rId6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C53" w:rsidRDefault="003B6C53" w:rsidP="00797920">
      <w:pPr>
        <w:spacing w:after="0" w:line="240" w:lineRule="auto"/>
      </w:pPr>
      <w:r>
        <w:separator/>
      </w:r>
    </w:p>
  </w:endnote>
  <w:endnote w:type="continuationSeparator" w:id="1">
    <w:p w:rsidR="003B6C53" w:rsidRDefault="003B6C53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C53" w:rsidRDefault="003B6C53" w:rsidP="00797920">
      <w:pPr>
        <w:spacing w:after="0" w:line="240" w:lineRule="auto"/>
      </w:pPr>
      <w:r>
        <w:separator/>
      </w:r>
    </w:p>
  </w:footnote>
  <w:footnote w:type="continuationSeparator" w:id="1">
    <w:p w:rsidR="003B6C53" w:rsidRDefault="003B6C53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C53" w:rsidRDefault="003B6C5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B6C53" w:rsidRPr="00780226" w:rsidRDefault="003B6C53" w:rsidP="007802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446"/>
    <w:rsid w:val="0001305E"/>
    <w:rsid w:val="000454A9"/>
    <w:rsid w:val="00065745"/>
    <w:rsid w:val="00131AB3"/>
    <w:rsid w:val="00131D4E"/>
    <w:rsid w:val="001D2C3B"/>
    <w:rsid w:val="003A7D23"/>
    <w:rsid w:val="003B6C53"/>
    <w:rsid w:val="005A2032"/>
    <w:rsid w:val="006171F0"/>
    <w:rsid w:val="00627735"/>
    <w:rsid w:val="00650D30"/>
    <w:rsid w:val="0072341F"/>
    <w:rsid w:val="0076791A"/>
    <w:rsid w:val="00780226"/>
    <w:rsid w:val="00797920"/>
    <w:rsid w:val="007E52E4"/>
    <w:rsid w:val="00825E4D"/>
    <w:rsid w:val="009A26B6"/>
    <w:rsid w:val="00A20B95"/>
    <w:rsid w:val="00C25446"/>
    <w:rsid w:val="00C71127"/>
    <w:rsid w:val="00CB59A1"/>
    <w:rsid w:val="00CD4CBD"/>
    <w:rsid w:val="00D00F8E"/>
    <w:rsid w:val="00D6580C"/>
    <w:rsid w:val="00F92A2A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2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5446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5446"/>
    <w:rPr>
      <w:rFonts w:ascii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0226"/>
    <w:rPr>
      <w:rFonts w:cs="Times New Roman"/>
    </w:rPr>
  </w:style>
  <w:style w:type="table" w:styleId="TableGrid">
    <w:name w:val="Table Grid"/>
    <w:basedOn w:val="TableNormal"/>
    <w:uiPriority w:val="99"/>
    <w:rsid w:val="00131D4E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917</Words>
  <Characters>5233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11</cp:revision>
  <cp:lastPrinted>2014-11-11T12:57:00Z</cp:lastPrinted>
  <dcterms:created xsi:type="dcterms:W3CDTF">2014-07-09T05:33:00Z</dcterms:created>
  <dcterms:modified xsi:type="dcterms:W3CDTF">2014-11-11T12:58:00Z</dcterms:modified>
</cp:coreProperties>
</file>