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709" w:rsidRDefault="00D3757C" w:rsidP="00D3757C">
      <w:pPr>
        <w:spacing w:after="0" w:line="240" w:lineRule="auto"/>
        <w:ind w:left="9923" w:hanging="11"/>
        <w:rPr>
          <w:rFonts w:ascii="Times New Roman" w:hAnsi="Times New Roman" w:cs="Times New Roman"/>
          <w:sz w:val="28"/>
          <w:szCs w:val="28"/>
        </w:rPr>
      </w:pPr>
      <w:r w:rsidRPr="00D3757C">
        <w:rPr>
          <w:rFonts w:ascii="Times New Roman" w:hAnsi="Times New Roman" w:cs="Times New Roman"/>
          <w:sz w:val="28"/>
          <w:szCs w:val="28"/>
        </w:rPr>
        <w:t>Приложение к отчету о результатах проведения годового мониторинга качества финансового менеджмента</w:t>
      </w:r>
    </w:p>
    <w:p w:rsidR="00D3757C" w:rsidRPr="00D3757C" w:rsidRDefault="00D3757C" w:rsidP="00D3757C">
      <w:pPr>
        <w:spacing w:after="0" w:line="240" w:lineRule="auto"/>
        <w:ind w:firstLine="11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1842"/>
        <w:gridCol w:w="1418"/>
        <w:gridCol w:w="1559"/>
        <w:gridCol w:w="1418"/>
        <w:gridCol w:w="1134"/>
        <w:gridCol w:w="1984"/>
      </w:tblGrid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42" w:type="dxa"/>
            <w:shd w:val="clear" w:color="000000" w:fill="FFFFFF"/>
            <w:vAlign w:val="bottom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Районное управление образованием 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культуры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по физической культуре и спорту 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по делам молодежи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МБУЗ "Мостовская ЦРБ"</w:t>
            </w:r>
          </w:p>
        </w:tc>
        <w:tc>
          <w:tcPr>
            <w:tcW w:w="1984" w:type="dxa"/>
            <w:shd w:val="clear" w:color="000000" w:fill="FFFFFF"/>
            <w:vAlign w:val="bottom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Вес группы в оценке/ показателя в группе (</w:t>
            </w:r>
            <w:proofErr w:type="gramStart"/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%)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84" w:type="dxa"/>
            <w:shd w:val="clear" w:color="000000" w:fill="FFFFFF"/>
            <w:noWrap/>
            <w:vAlign w:val="bottom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22,61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19,95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Среднесрочное финансовое планирование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3,59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 Регулирование и внедрение главным распорядителем средств бюджета муниципального образования Мостовский район процедур среднесрочного финансового планирования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2,31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 Качество правового акта ГРБС, регулирующего внутренние процедуры подготовки бюджетных проектировок на очередной финансовый год и плановый период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 Доля бюджетных ассигнований, представленных в программном виде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15,32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1.4. Качество планирования расходов: количество справок об изменении сводной бюджетной росписи бюджета муниципального образования Мостовский район и лимитов бюджетных обязательств в отчетном периоде в случае увеличения бюджетных ассигнований 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1.5. Качество планирования расходов: доля суммы изменений в сводную бюджетную роспись бюджета муниципального образования </w:t>
            </w: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Мостовский район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1,10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2. Исполнение бюджета в части расходов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16,29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17,62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 Доля неисполненных на конец отчетного финансового года бюджетных ассигнований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2.2. Качество осуществления равномерности расходов 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Эффективность управления кредиторской задолженностью по расчетам с поставщиками и подрядчиками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4,17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 Доля аннулированных отрицательных расходных расписаний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2.6. Качество Порядка составления, утверждения и ведения бюджетных </w:t>
            </w:r>
            <w:proofErr w:type="gramStart"/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</w:t>
            </w:r>
            <w:proofErr w:type="gramEnd"/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подведомственных ГРБС получателей бюджетных средств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2.7. Качество составления прогнозных показателей исполнения бюджетных обязательств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2.8. Наличие просроченной кредиторской задолженности муниципальных учреждений на конец отчетного периода        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Качество прогнозирования доходных источников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33,82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13,75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3.1.Эффективность использования межбюджетных трансфертов, полученных из краевого и федерального бюджета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Качество администрирования доходов по возврату целевых остатков в краевой и федеральный бюджеты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3.3. Доля невыясненных поступлений, зачисленных в бюджет муниципального образования Мостовский район, уточняемых главным администратором доходов  бюджета </w:t>
            </w: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образования Мостовский район, и возвратов (возмещений) из бюджета муниципального образования Мостовский район излишне уплаченных (взысканных) сумм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3.4 Качество правовой базы главного </w:t>
            </w:r>
            <w:proofErr w:type="spellStart"/>
            <w:proofErr w:type="gramStart"/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адми-нистратора</w:t>
            </w:r>
            <w:proofErr w:type="spellEnd"/>
            <w:proofErr w:type="gramEnd"/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доходов бюджета муниципального образования Мостовский район по администрированию доходов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 Учет и отчетность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2,86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 Методические рекомендации (указания) ГРБС по реализации государственной учетной политики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 Наличие единой автоматизированной системы сбора и свода бюджетной отчетности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4.3. Применение получателями средств бюджета муниципального образования Мостовский район программных комплексов по автоматизации бюджетного учета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 Представление в составе годовой бюджетной отчетности Сведений о мерах по повышению эффективности расходования бюджетных средств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4.5. Соответствие показателей, приведенных в Сведениях о результатах деятельности, показателям, указанным в обоснованиях бюджетных ассигнований ГРБС 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 Контроль и аудит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17,22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 Осуществление мероприятий внутреннего контроля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5.2. Динамика нарушений, выявленных в ходе внешних контрольных мероприятий 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5.3. Проведение инвентаризаций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5.4. Доля недостач и хищений денежных средств и </w:t>
            </w: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материальных ценностей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4,66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5.5. Качество правового акта ГРБС об организации внутреннего финансового аудита (контроля)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5.6. Качество правового акта ГРБС о порядке ведения мониторинга результатов деятельности (результативности бюджетных расходов, качества предоставляемых услуг) подведомственных муниципальных учреждений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 Исполнение судебных актов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6.1. Иски о возмещении ущерба (в денежном выражении)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6.2. Иски о возмещении ущерба (в количественном выражении)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6.3. Иски о взыскании задолженности (в денежном выражении)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6.4. Иски о взыскании задолженности (в количественном выражении)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6.5. Иски по денежным обязательствам получателей средств бюджета муниципального образования Мостовский район (в денежном выражении)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6.6. Иски по денежным обязательствам получателей средств бюджета муниципального образования Мостовский район (в количественном выражении)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6.8. Приостановление операций по расходованию средств на лицевых счетах подведомственных ГРБС получателей средств бюджета муниципального образования Мостовский район в связи с нарушением процедур исполнения судебных актов, предусматривающих обращение взыскания на средства бюджета муниципального образования Мостовский район по обязательствам </w:t>
            </w: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подведомственных учреждений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3,40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6.9. Сумма, подлежащая взысканию по исполнительным документам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 Кадровый потенциал финансового (финансово-экономического) подразделения ГРБС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7.1. Квалификация сотрудников финансового (финансово-экономического) подразделения центрального аппарата ГРБС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7.2. Повышение квалификации сотрудников финансового (финансово-экономического) </w:t>
            </w:r>
            <w:proofErr w:type="gramStart"/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под-разделения</w:t>
            </w:r>
            <w:proofErr w:type="gramEnd"/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центрального аппарата ГРБС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7.3. Укомплектованность финансового (финансово-экономического) подразделения центрального аппарата ГРБС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7.4. Ротация сотрудников финансового (финансово-экономического) подразделения центрального аппарата ГРБС в возрасте до 35 лет, имеющих стаж работы в подразделении более трех лет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7.5. Количество сотрудников финансового (финансово-экономического) подразделения центрального аппарата ГРБС в возрасте до 35 лет, имеющих стаж работы в подразделении более трех лет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 Управление активами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D3757C" w:rsidRPr="00D3757C" w:rsidTr="00D3757C">
        <w:trPr>
          <w:trHeight w:val="300"/>
        </w:trPr>
        <w:tc>
          <w:tcPr>
            <w:tcW w:w="552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8.1. Динамика объема материальных запасов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3757C" w:rsidRPr="00D3757C" w:rsidRDefault="00D3757C" w:rsidP="00D37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5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</w:tbl>
    <w:p w:rsidR="00D3757C" w:rsidRDefault="00D3757C" w:rsidP="00D3757C">
      <w:pPr>
        <w:spacing w:after="0" w:line="240" w:lineRule="auto"/>
      </w:pPr>
    </w:p>
    <w:p w:rsidR="00D3757C" w:rsidRPr="00D3757C" w:rsidRDefault="00D3757C" w:rsidP="00D37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757C" w:rsidRPr="00D3757C" w:rsidRDefault="00D3757C" w:rsidP="00D3757C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D3757C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бюджетного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bookmarkStart w:id="0" w:name="_GoBack"/>
      <w:bookmarkEnd w:id="0"/>
      <w:proofErr w:type="spellStart"/>
      <w:r w:rsidRPr="00D3757C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sectPr w:rsidR="00D3757C" w:rsidRPr="00D3757C" w:rsidSect="00D3757C">
      <w:pgSz w:w="16838" w:h="11906" w:orient="landscape"/>
      <w:pgMar w:top="1134" w:right="110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FFF"/>
    <w:rsid w:val="00005018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F3064"/>
    <w:rsid w:val="001F602B"/>
    <w:rsid w:val="0020782B"/>
    <w:rsid w:val="002142EC"/>
    <w:rsid w:val="00215852"/>
    <w:rsid w:val="00233A09"/>
    <w:rsid w:val="0028366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51F61"/>
    <w:rsid w:val="003533CD"/>
    <w:rsid w:val="00376E17"/>
    <w:rsid w:val="003B306A"/>
    <w:rsid w:val="003C41BC"/>
    <w:rsid w:val="003C6C02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DED"/>
    <w:rsid w:val="005A4E37"/>
    <w:rsid w:val="005A7513"/>
    <w:rsid w:val="005B2240"/>
    <w:rsid w:val="005B77EA"/>
    <w:rsid w:val="005C24E6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784"/>
    <w:rsid w:val="00664DC8"/>
    <w:rsid w:val="00690914"/>
    <w:rsid w:val="00692C65"/>
    <w:rsid w:val="00695F9A"/>
    <w:rsid w:val="006B6A8D"/>
    <w:rsid w:val="006C5ECC"/>
    <w:rsid w:val="006D01B4"/>
    <w:rsid w:val="006D4E2F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F24A4"/>
    <w:rsid w:val="008509B8"/>
    <w:rsid w:val="00852ED0"/>
    <w:rsid w:val="00856EBA"/>
    <w:rsid w:val="00857127"/>
    <w:rsid w:val="00880368"/>
    <w:rsid w:val="00882023"/>
    <w:rsid w:val="00890F36"/>
    <w:rsid w:val="00895E9C"/>
    <w:rsid w:val="008F47F9"/>
    <w:rsid w:val="008F6572"/>
    <w:rsid w:val="008F7474"/>
    <w:rsid w:val="00916125"/>
    <w:rsid w:val="009161E1"/>
    <w:rsid w:val="00925184"/>
    <w:rsid w:val="0092745F"/>
    <w:rsid w:val="0093355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E583F"/>
    <w:rsid w:val="00AF0B2F"/>
    <w:rsid w:val="00AF6FF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0E04"/>
    <w:rsid w:val="00BC21B0"/>
    <w:rsid w:val="00BC2202"/>
    <w:rsid w:val="00C04357"/>
    <w:rsid w:val="00C118D0"/>
    <w:rsid w:val="00C21637"/>
    <w:rsid w:val="00C34935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3757C"/>
    <w:rsid w:val="00D460D8"/>
    <w:rsid w:val="00D53112"/>
    <w:rsid w:val="00D607D4"/>
    <w:rsid w:val="00D74B85"/>
    <w:rsid w:val="00D9176C"/>
    <w:rsid w:val="00D959B6"/>
    <w:rsid w:val="00DA62A0"/>
    <w:rsid w:val="00DB3411"/>
    <w:rsid w:val="00E06A3F"/>
    <w:rsid w:val="00E23854"/>
    <w:rsid w:val="00E32C2A"/>
    <w:rsid w:val="00E34C7F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5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5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2</cp:revision>
  <cp:lastPrinted>2014-05-14T06:09:00Z</cp:lastPrinted>
  <dcterms:created xsi:type="dcterms:W3CDTF">2014-05-14T06:00:00Z</dcterms:created>
  <dcterms:modified xsi:type="dcterms:W3CDTF">2014-05-14T06:16:00Z</dcterms:modified>
</cp:coreProperties>
</file>