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Pr="00911C3A" w:rsidRDefault="00911C3A" w:rsidP="00911C3A">
      <w:pPr>
        <w:jc w:val="right"/>
        <w:rPr>
          <w:rFonts w:ascii="Times New Roman" w:hAnsi="Times New Roman" w:cs="Times New Roman"/>
          <w:sz w:val="28"/>
          <w:szCs w:val="28"/>
        </w:rPr>
      </w:pPr>
      <w:r w:rsidRPr="00911C3A">
        <w:rPr>
          <w:rFonts w:ascii="Times New Roman" w:hAnsi="Times New Roman" w:cs="Times New Roman"/>
          <w:sz w:val="28"/>
          <w:szCs w:val="28"/>
        </w:rPr>
        <w:t xml:space="preserve">ПРИЛОЖЕНИЕ  3 </w:t>
      </w:r>
    </w:p>
    <w:p w:rsidR="00911C3A" w:rsidRDefault="00911C3A"/>
    <w:p w:rsidR="00911C3A" w:rsidRDefault="00911C3A">
      <w:r w:rsidRPr="00911C3A">
        <w:rPr>
          <w:noProof/>
          <w:lang w:eastAsia="ru-RU"/>
        </w:rPr>
        <w:drawing>
          <wp:inline distT="0" distB="0" distL="0" distR="0">
            <wp:extent cx="9601200" cy="51530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11C3A" w:rsidSect="00911C3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11C3A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979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E4B9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A6AD4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76F9F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0751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1C3A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2951"/>
    <w:rsid w:val="009A729D"/>
    <w:rsid w:val="009B0393"/>
    <w:rsid w:val="009B6EB8"/>
    <w:rsid w:val="009C0C97"/>
    <w:rsid w:val="009C10C8"/>
    <w:rsid w:val="009C39F2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1DE9"/>
    <w:rsid w:val="00B06EB1"/>
    <w:rsid w:val="00B102A2"/>
    <w:rsid w:val="00B12950"/>
    <w:rsid w:val="00B242D9"/>
    <w:rsid w:val="00B24FF4"/>
    <w:rsid w:val="00B25645"/>
    <w:rsid w:val="00B25FE7"/>
    <w:rsid w:val="00B3144C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1C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2%20&#1082;&#1074;&#1072;&#1088;&#1090;&#1072;&#1083;\&#1058;&#1077;&#1084;&#1072;&#1090;&#1080;&#1082;&#1072;%20&#1086;&#1073;&#1088;&#1072;&#1097;&#1077;&#1085;&#1080;&#1081;%20&#1087;&#1086;&#1083;&#1091;&#1075;&#1086;&#1076;&#1080;&#1077;%20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в  1 полугодии 2020 года</a:t>
            </a:r>
          </a:p>
        </c:rich>
      </c:tx>
      <c:layout>
        <c:manualLayout>
          <c:xMode val="edge"/>
          <c:yMode val="edge"/>
          <c:x val="0.31491261508978108"/>
          <c:y val="1.4732899607512114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40"/>
          <c:dPt>
            <c:idx val="0"/>
            <c:explosion val="32"/>
          </c:dPt>
          <c:dPt>
            <c:idx val="1"/>
            <c:explosion val="20"/>
          </c:dPt>
          <c:dPt>
            <c:idx val="2"/>
            <c:explosion val="18"/>
          </c:dPt>
          <c:dPt>
            <c:idx val="3"/>
            <c:explosion val="18"/>
          </c:dPt>
          <c:dPt>
            <c:idx val="4"/>
            <c:explosion val="18"/>
          </c:dPt>
          <c:dPt>
            <c:idx val="5"/>
            <c:explosion val="17"/>
          </c:dPt>
          <c:dPt>
            <c:idx val="6"/>
            <c:explosion val="14"/>
          </c:dPt>
          <c:dPt>
            <c:idx val="7"/>
            <c:explosion val="10"/>
          </c:dPt>
          <c:dPt>
            <c:idx val="8"/>
            <c:explosion val="25"/>
          </c:dPt>
          <c:dPt>
            <c:idx val="9"/>
            <c:explosion val="25"/>
          </c:dPt>
          <c:dPt>
            <c:idx val="11"/>
            <c:explosion val="25"/>
          </c:dPt>
          <c:dLbls>
            <c:dLbl>
              <c:idx val="0"/>
              <c:layout>
                <c:manualLayout>
                  <c:x val="0.21184903970337077"/>
                  <c:y val="-1.210221180762754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Промышленность, энергетика, </a:t>
                    </a:r>
                  </a:p>
                  <a:p>
                    <a:r>
                      <a:rPr lang="ru-RU"/>
                      <a:t>экология, транспорт, связь, ЖКХ
11,5% (28)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-5.2342825603946411E-3"/>
                  <c:y val="-3.739775621969905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 благоустройство, в т.ч. газификация
16,1%(39)</a:t>
                    </a:r>
                  </a:p>
                </c:rich>
              </c:tx>
              <c:dLblPos val="bestFit"/>
            </c:dLbl>
            <c:dLbl>
              <c:idx val="2"/>
              <c:layout>
                <c:manualLayout>
                  <c:x val="8.4748260634087511E-2"/>
                  <c:y val="-0.1003631847312986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</a:t>
                    </a:r>
                  </a:p>
                  <a:p>
                    <a:r>
                      <a:rPr lang="ru-RU"/>
                      <a:t>хозяйство
3,3%(8)</a:t>
                    </a:r>
                  </a:p>
                </c:rich>
              </c:tx>
              <c:dLblPos val="bestFit"/>
            </c:dLbl>
            <c:dLbl>
              <c:idx val="3"/>
              <c:layout>
                <c:manualLayout>
                  <c:x val="3.7856392950881196E-2"/>
                  <c:y val="2.241007997167515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 имущественные </a:t>
                    </a:r>
                  </a:p>
                  <a:p>
                    <a:r>
                      <a:rPr lang="ru-RU"/>
                      <a:t>отношения
5,3%(13)</a:t>
                    </a:r>
                  </a:p>
                </c:rich>
              </c:tx>
              <c:dLblPos val="bestFit"/>
            </c:dLbl>
            <c:dLbl>
              <c:idx val="4"/>
              <c:layout>
                <c:manualLayout>
                  <c:x val="1.8958255218097759E-2"/>
                  <c:y val="9.061764691613179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 отношения
0,8%(2)</a:t>
                    </a:r>
                  </a:p>
                </c:rich>
              </c:tx>
              <c:dLblPos val="bestFit"/>
            </c:dLbl>
            <c:dLbl>
              <c:idx val="5"/>
              <c:layout>
                <c:manualLayout>
                  <c:x val="3.825480148314795E-2"/>
                  <c:y val="0.114965481440513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Экономика, налоги, тарифы ЖКУ
9,5%(23)</a:t>
                    </a:r>
                  </a:p>
                </c:rich>
              </c:tx>
              <c:dLblPos val="bestFit"/>
            </c:dLbl>
            <c:dLbl>
              <c:idx val="6"/>
              <c:layout>
                <c:manualLayout>
                  <c:x val="4.3763779527559173E-2"/>
                  <c:y val="0.1112100430261466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4,1%(10)</a:t>
                    </a:r>
                  </a:p>
                </c:rich>
              </c:tx>
              <c:dLblPos val="bestFit"/>
            </c:dLbl>
            <c:dLbl>
              <c:idx val="7"/>
              <c:layout>
                <c:manualLayout>
                  <c:x val="7.9297587801524946E-2"/>
                  <c:y val="0.1948111544707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Социальные вопросы (46),  здравоохранение (29), образов.(3)
32,1%(78)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0.15076052993375802"/>
                  <c:y val="9.876909814425731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13,6%(33)</a:t>
                    </a:r>
                  </a:p>
                </c:rich>
              </c:tx>
              <c:dLblPos val="bestFit"/>
            </c:dLbl>
            <c:dLbl>
              <c:idx val="9"/>
              <c:layout>
                <c:manualLayout>
                  <c:x val="-0.25139295088113939"/>
                  <c:y val="-1.52461880681337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Военные вопросы, казачество, взаимодействие с правоохранительными органами, ГО и ЧС
2,5%(6)</a:t>
                    </a:r>
                  </a:p>
                </c:rich>
              </c:tx>
              <c:dLblPos val="bestFit"/>
            </c:dLbl>
            <c:dLbl>
              <c:idx val="10"/>
              <c:delete val="1"/>
            </c:dLbl>
            <c:dLbl>
              <c:idx val="11"/>
              <c:layout>
                <c:manualLayout>
                  <c:x val="6.7639878348539767E-2"/>
                  <c:y val="-3.8219492434055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1,2%(3)</a:t>
                    </a:r>
                  </a:p>
                </c:rich>
              </c:tx>
              <c:dLblPos val="bestFit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(36), вопросы здравоохранения 12), образов.(12)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28</c:v>
                </c:pt>
                <c:pt idx="1">
                  <c:v>39</c:v>
                </c:pt>
                <c:pt idx="2">
                  <c:v>8</c:v>
                </c:pt>
                <c:pt idx="3">
                  <c:v>13</c:v>
                </c:pt>
                <c:pt idx="4">
                  <c:v>2</c:v>
                </c:pt>
                <c:pt idx="5">
                  <c:v>23</c:v>
                </c:pt>
                <c:pt idx="6">
                  <c:v>10</c:v>
                </c:pt>
                <c:pt idx="7">
                  <c:v>78</c:v>
                </c:pt>
                <c:pt idx="8">
                  <c:v>33</c:v>
                </c:pt>
                <c:pt idx="9">
                  <c:v>6</c:v>
                </c:pt>
                <c:pt idx="10">
                  <c:v>0</c:v>
                </c:pt>
                <c:pt idx="11">
                  <c:v>3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</Words>
  <Characters>16</Characters>
  <Application>Microsoft Office Word</Application>
  <DocSecurity>0</DocSecurity>
  <Lines>1</Lines>
  <Paragraphs>1</Paragraphs>
  <ScaleCrop>false</ScaleCrop>
  <Company>1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2020-07-08T13:41:00Z</cp:lastPrinted>
  <dcterms:created xsi:type="dcterms:W3CDTF">2020-07-07T05:33:00Z</dcterms:created>
  <dcterms:modified xsi:type="dcterms:W3CDTF">2020-07-08T13:43:00Z</dcterms:modified>
</cp:coreProperties>
</file>