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308" w:rsidRDefault="0081348C" w:rsidP="0081348C">
      <w:pPr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81348C">
        <w:rPr>
          <w:rFonts w:ascii="Times New Roman" w:hAnsi="Times New Roman" w:cs="Times New Roman"/>
          <w:noProof/>
          <w:sz w:val="28"/>
          <w:szCs w:val="28"/>
          <w:lang w:eastAsia="ru-RU"/>
        </w:rPr>
        <w:t>Приложение 4</w:t>
      </w:r>
    </w:p>
    <w:p w:rsidR="0081348C" w:rsidRDefault="0081348C" w:rsidP="0081348C">
      <w:p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81348C" w:rsidRPr="0081348C" w:rsidRDefault="00E95C1A" w:rsidP="0081348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093188E4" wp14:editId="308199F8">
            <wp:extent cx="5989320" cy="8488680"/>
            <wp:effectExtent l="0" t="0" r="11430" b="2667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81348C" w:rsidRPr="00813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C0A"/>
    <w:rsid w:val="00023A30"/>
    <w:rsid w:val="00070B13"/>
    <w:rsid w:val="002C3C0A"/>
    <w:rsid w:val="00417CD0"/>
    <w:rsid w:val="00611279"/>
    <w:rsid w:val="00692F31"/>
    <w:rsid w:val="006E54F6"/>
    <w:rsid w:val="00743874"/>
    <w:rsid w:val="0081348C"/>
    <w:rsid w:val="00912DD4"/>
    <w:rsid w:val="0094502E"/>
    <w:rsid w:val="009E1573"/>
    <w:rsid w:val="00A05308"/>
    <w:rsid w:val="00AB595C"/>
    <w:rsid w:val="00AC254D"/>
    <w:rsid w:val="00B444F0"/>
    <w:rsid w:val="00B66B81"/>
    <w:rsid w:val="00C05577"/>
    <w:rsid w:val="00C82FF3"/>
    <w:rsid w:val="00CD081D"/>
    <w:rsid w:val="00E95C1A"/>
    <w:rsid w:val="00F35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3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3C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3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3C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in\Desktop\4%20&#1082;&#1074;\&#1058;&#1077;&#1084;&#1072;&#1090;&#1080;&#1082;&#1072;%20&#1058;&#1047;%20%20&#1075;&#1086;&#1076;.xlsb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b="1"/>
            </a:pPr>
            <a:r>
              <a:rPr lang="ru-RU" sz="1400" b="1">
                <a:latin typeface="Times New Roman" pitchFamily="18" charset="0"/>
                <a:cs typeface="Times New Roman" pitchFamily="18" charset="0"/>
              </a:rPr>
              <a:t>Основные темы вопросов в обращениях граждан </a:t>
            </a:r>
          </a:p>
          <a:p>
            <a:pPr>
              <a:defRPr b="1"/>
            </a:pPr>
            <a:r>
              <a:rPr lang="ru-RU" sz="1400" b="1">
                <a:latin typeface="Times New Roman" pitchFamily="18" charset="0"/>
                <a:cs typeface="Times New Roman" pitchFamily="18" charset="0"/>
              </a:rPr>
              <a:t>по телефону за 2023 год</a:t>
            </a:r>
          </a:p>
        </c:rich>
      </c:tx>
      <c:layout>
        <c:manualLayout>
          <c:xMode val="edge"/>
          <c:yMode val="edge"/>
          <c:x val="0.26077125821461711"/>
          <c:y val="2.9599276709134127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54743283854652569"/>
          <c:y val="0.16410464360969282"/>
          <c:w val="0.41090048118985129"/>
          <c:h val="0.80782051282051281"/>
        </c:manualLayout>
      </c:layout>
      <c:barChart>
        <c:barDir val="bar"/>
        <c:grouping val="clustered"/>
        <c:varyColors val="0"/>
        <c:ser>
          <c:idx val="0"/>
          <c:order val="0"/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1% (2)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1%(3)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1%(3)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2917378699397256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1%(1)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ru-RU"/>
                      <a:t>2%(7)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2%(5</a:t>
                    </a:r>
                    <a:r>
                      <a:rPr lang="ru-RU"/>
                      <a:t>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tx>
                <c:rich>
                  <a:bodyPr/>
                  <a:lstStyle/>
                  <a:p>
                    <a:r>
                      <a:rPr lang="ru-RU"/>
                      <a:t>3%(8)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ru-RU"/>
                      <a:t>3%(10)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ru-RU"/>
                      <a:t>4%(11)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2917378699398097E-3"/>
                  <c:y val="2.5406509147643625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4%(12)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tx>
                <c:rich>
                  <a:bodyPr/>
                  <a:lstStyle/>
                  <a:p>
                    <a:r>
                      <a:rPr lang="ru-RU"/>
                      <a:t>5%(15)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ru-RU"/>
                      <a:t>5%(14)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tx>
                <c:rich>
                  <a:bodyPr/>
                  <a:lstStyle/>
                  <a:p>
                    <a:r>
                      <a:rPr lang="ru-RU"/>
                      <a:t>6%(17</a:t>
                    </a:r>
                    <a:r>
                      <a:rPr lang="ru-RU">
                        <a:solidFill>
                          <a:srgbClr val="FF0000"/>
                        </a:solidFill>
                      </a:rPr>
                      <a:t>)</a:t>
                    </a:r>
                    <a:endParaRPr lang="en-US">
                      <a:solidFill>
                        <a:srgbClr val="FF0000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tx>
                <c:rich>
                  <a:bodyPr/>
                  <a:lstStyle/>
                  <a:p>
                    <a:r>
                      <a:rPr lang="ru-RU"/>
                      <a:t>9%(28)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tx>
                <c:rich>
                  <a:bodyPr/>
                  <a:lstStyle/>
                  <a:p>
                    <a:r>
                      <a:rPr lang="ru-RU"/>
                      <a:t>10%(29)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tx>
                <c:rich>
                  <a:bodyPr/>
                  <a:lstStyle/>
                  <a:p>
                    <a:r>
                      <a:rPr lang="ru-RU"/>
                      <a:t>44%(130)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tx>
                <c:rich>
                  <a:bodyPr/>
                  <a:lstStyle/>
                  <a:p>
                    <a:r>
                      <a:rPr lang="ru-RU"/>
                      <a:t>21(26)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'Общее кол-во'!$A$2:$A$17</c:f>
              <c:strCache>
                <c:ptCount val="16"/>
                <c:pt idx="0">
                  <c:v>Государство, оющество, политика</c:v>
                </c:pt>
                <c:pt idx="1">
                  <c:v>Здравоохранение</c:v>
                </c:pt>
                <c:pt idx="2">
                  <c:v>Оборона, безопасность, законность</c:v>
                </c:pt>
                <c:pt idx="3">
                  <c:v>Строительство и культура</c:v>
                </c:pt>
                <c:pt idx="4">
                  <c:v>Прочие вопросы</c:v>
                </c:pt>
                <c:pt idx="5">
                  <c:v>Образование и культура</c:v>
                </c:pt>
                <c:pt idx="6">
                  <c:v>Экономика, малый и средний бизнес</c:v>
                </c:pt>
                <c:pt idx="7">
                  <c:v>Сельское хозяйство</c:v>
                </c:pt>
                <c:pt idx="8">
                  <c:v>Безопасность и обеспечение правопорядка</c:v>
                </c:pt>
                <c:pt idx="9">
                  <c:v>Работа с обращениями граждан</c:v>
                </c:pt>
                <c:pt idx="10">
                  <c:v>Экология и природопользование</c:v>
                </c:pt>
                <c:pt idx="11">
                  <c:v>Жилищное хозяйство</c:v>
                </c:pt>
                <c:pt idx="12">
                  <c:v>Земельные отношения</c:v>
                </c:pt>
                <c:pt idx="13">
                  <c:v>Социальное обеспечение</c:v>
                </c:pt>
                <c:pt idx="14">
                  <c:v>Транспорт и дорожное хозяйство</c:v>
                </c:pt>
                <c:pt idx="15">
                  <c:v>Коммунальное хозяйство</c:v>
                </c:pt>
              </c:strCache>
            </c:strRef>
          </c:cat>
          <c:val>
            <c:numRef>
              <c:f>'Общее кол-во'!$B$2:$B$17</c:f>
              <c:numCache>
                <c:formatCode>General</c:formatCode>
                <c:ptCount val="16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2</c:v>
                </c:pt>
                <c:pt idx="5">
                  <c:v>2</c:v>
                </c:pt>
                <c:pt idx="6">
                  <c:v>3</c:v>
                </c:pt>
                <c:pt idx="7">
                  <c:v>3</c:v>
                </c:pt>
                <c:pt idx="8">
                  <c:v>4</c:v>
                </c:pt>
                <c:pt idx="9">
                  <c:v>4</c:v>
                </c:pt>
                <c:pt idx="10">
                  <c:v>5</c:v>
                </c:pt>
                <c:pt idx="11">
                  <c:v>5</c:v>
                </c:pt>
                <c:pt idx="12">
                  <c:v>6</c:v>
                </c:pt>
                <c:pt idx="13">
                  <c:v>9</c:v>
                </c:pt>
                <c:pt idx="14">
                  <c:v>10</c:v>
                </c:pt>
                <c:pt idx="15">
                  <c:v>44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67263232"/>
        <c:axId val="266782976"/>
      </c:barChart>
      <c:catAx>
        <c:axId val="167263232"/>
        <c:scaling>
          <c:orientation val="minMax"/>
        </c:scaling>
        <c:delete val="0"/>
        <c:axPos val="l"/>
        <c:majorTickMark val="none"/>
        <c:minorTickMark val="none"/>
        <c:tickLblPos val="nextTo"/>
        <c:txPr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266782976"/>
        <c:crosses val="autoZero"/>
        <c:auto val="1"/>
        <c:lblAlgn val="ctr"/>
        <c:lblOffset val="100"/>
        <c:noMultiLvlLbl val="0"/>
      </c:catAx>
      <c:valAx>
        <c:axId val="266782976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16726323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18</cp:revision>
  <cp:lastPrinted>2023-04-04T13:07:00Z</cp:lastPrinted>
  <dcterms:created xsi:type="dcterms:W3CDTF">2022-12-29T06:24:00Z</dcterms:created>
  <dcterms:modified xsi:type="dcterms:W3CDTF">2024-01-11T10:26:00Z</dcterms:modified>
</cp:coreProperties>
</file>