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4D" w:rsidRDefault="003D20C5">
      <w:r>
        <w:t xml:space="preserve">Пунктом 12 статьи 1 Градостроительного кодекса Российской Федерации установлено, что территории общего пользования – это территории, которыми беспрепятственно пользуется неограниченный круг лиц, в том числе площади, улицы, проезды, набережные, береговые полосы водных объектов общего пользования, скверы, бульвары. </w:t>
      </w:r>
      <w:r>
        <w:br/>
        <w:t xml:space="preserve">В соответствии со статьей 16 Федерального закона от 06.10.2003 года № 131-ФЗ «Об общих принципах организации местного самоуправления в Российской Федерации» и статьей 11, Земельного кодекса Российской Федерации решение вопросов местного значения в области использования и охраны земель, управление и распоряжение земельными участками, находящимися муниципальной собственности, их предоставление гражданам и юридическим лицам относится к полномочиям органов местного самоуправления. </w:t>
      </w:r>
      <w:r>
        <w:br/>
        <w:t xml:space="preserve">Согласно ст. 263-264 Гражданского кодекса РФ право разрешать или отказывать в застройке земельного участка принадлежит только собственнику земельного участка. </w:t>
      </w:r>
      <w:r>
        <w:br/>
        <w:t xml:space="preserve">В соответствии со статьей 301 Гражданского кодекса Российской Федерации собственник вправе истребовать свое имущество из чужих незаконных владений. </w:t>
      </w:r>
      <w:r>
        <w:br/>
        <w:t xml:space="preserve">Согласно ст. 304 ГК РФ собственник вправе требовать устранения всяких нарушений его права. Согласно ст. 65 Земельного кодекса РФ использование земли в Российской Федерации является платным. Ответчик платежи за земельный участок не осуществлял, плату за землю в бюджет не вносил. </w:t>
      </w:r>
      <w:r>
        <w:br/>
        <w:t xml:space="preserve">Из содержания пункта 4 части 2 статьи 60 Земельного кодекса РФ следует, что действия, нарушающие права на землю граждан и юридических лиц, или создающие угрозу их нарушения, могут быть пресечены путем восстановления положения, существовавшего до нарушения права и пресечения действий, нарушающих право или создающих угрозу его нарушения. </w:t>
      </w:r>
      <w:r>
        <w:br/>
        <w:t xml:space="preserve">Аналогичная норма закреплена и в статье 12 Гражданского кодекса РФ. </w:t>
      </w:r>
      <w:r>
        <w:br/>
        <w:t xml:space="preserve">В соответствии с пунктами 2 и 3, статьи 76 Земельного кодекса Российской Федерации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 </w:t>
      </w:r>
      <w:r>
        <w:br/>
        <w:t>Приведение земельных участков в пригодное для использования состояние при их захламлении, других видах порчи, самовольном занятии, снос зданий, строений,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  <w:bookmarkStart w:id="0" w:name="_GoBack"/>
      <w:bookmarkEnd w:id="0"/>
    </w:p>
    <w:sectPr w:rsidR="0026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C5"/>
    <w:rsid w:val="00262A4D"/>
    <w:rsid w:val="003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3BA3D-4239-49F7-B2AC-4B9BD6E7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Мальцев</dc:creator>
  <cp:keywords/>
  <dc:description/>
  <cp:lastModifiedBy>Михаил Мальцев</cp:lastModifiedBy>
  <cp:revision>1</cp:revision>
  <dcterms:created xsi:type="dcterms:W3CDTF">2018-08-15T07:44:00Z</dcterms:created>
  <dcterms:modified xsi:type="dcterms:W3CDTF">2018-08-15T07:45:00Z</dcterms:modified>
</cp:coreProperties>
</file>