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40"/>
        <w:gridCol w:w="15"/>
        <w:gridCol w:w="80"/>
        <w:gridCol w:w="14"/>
        <w:gridCol w:w="123"/>
        <w:gridCol w:w="50"/>
        <w:gridCol w:w="15"/>
        <w:gridCol w:w="34"/>
        <w:gridCol w:w="14"/>
        <w:gridCol w:w="167"/>
        <w:gridCol w:w="97"/>
        <w:gridCol w:w="14"/>
        <w:gridCol w:w="29"/>
        <w:gridCol w:w="902"/>
        <w:gridCol w:w="151"/>
        <w:gridCol w:w="419"/>
        <w:gridCol w:w="9"/>
        <w:gridCol w:w="56"/>
        <w:gridCol w:w="162"/>
        <w:gridCol w:w="125"/>
        <w:gridCol w:w="106"/>
        <w:gridCol w:w="34"/>
        <w:gridCol w:w="377"/>
        <w:gridCol w:w="14"/>
        <w:gridCol w:w="34"/>
        <w:gridCol w:w="278"/>
        <w:gridCol w:w="118"/>
        <w:gridCol w:w="121"/>
        <w:gridCol w:w="14"/>
        <w:gridCol w:w="30"/>
        <w:gridCol w:w="140"/>
        <w:gridCol w:w="376"/>
        <w:gridCol w:w="6"/>
        <w:gridCol w:w="146"/>
        <w:gridCol w:w="14"/>
        <w:gridCol w:w="27"/>
        <w:gridCol w:w="163"/>
        <w:gridCol w:w="117"/>
        <w:gridCol w:w="419"/>
        <w:gridCol w:w="278"/>
        <w:gridCol w:w="142"/>
        <w:gridCol w:w="177"/>
        <w:gridCol w:w="16"/>
        <w:gridCol w:w="227"/>
        <w:gridCol w:w="117"/>
        <w:gridCol w:w="6"/>
        <w:gridCol w:w="163"/>
        <w:gridCol w:w="140"/>
        <w:gridCol w:w="13"/>
        <w:gridCol w:w="45"/>
        <w:gridCol w:w="222"/>
        <w:gridCol w:w="821"/>
        <w:gridCol w:w="9"/>
        <w:gridCol w:w="6"/>
      </w:tblGrid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Сводный отчет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 результатах проведения </w:t>
            </w:r>
            <w:r w:rsidR="00261F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оценки регулирующего воздействия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проекту </w:t>
            </w:r>
            <w:r w:rsidR="00261F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нормативного правового акта</w:t>
            </w:r>
          </w:p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sub_30001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  <w:r w:rsidR="00E65BD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архитектуры и градостроительства администрации муниципального образования Мостовский район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Cs w:val="28"/>
              </w:rPr>
              <w:t>(полное и краткое наименования)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65BDC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256C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FB256C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FB256C">
              <w:rPr>
                <w:rFonts w:ascii="Times New Roman" w:hAnsi="Times New Roman"/>
                <w:sz w:val="28"/>
                <w:szCs w:val="28"/>
              </w:rPr>
              <w:t>по предоставлению администрацией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56C">
              <w:rPr>
                <w:rFonts w:ascii="Times New Roman" w:hAnsi="Times New Roman"/>
                <w:bCs/>
                <w:sz w:val="28"/>
                <w:szCs w:val="28"/>
              </w:rPr>
              <w:t xml:space="preserve">Мостовский район </w:t>
            </w:r>
            <w:r w:rsidRPr="00FB256C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F01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51FB" w:rsidRPr="006151F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Pr="006151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65BDC" w:rsidP="00E65B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33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на следующий день после его официального </w:t>
            </w:r>
            <w:r w:rsidRPr="00EF673C">
              <w:rPr>
                <w:rFonts w:ascii="Times New Roman" w:hAnsi="Times New Roman" w:cs="Times New Roman"/>
                <w:sz w:val="28"/>
                <w:szCs w:val="28"/>
              </w:rPr>
              <w:t>обнародования,</w:t>
            </w:r>
            <w:r w:rsidRPr="00AC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 </w:t>
            </w:r>
            <w:r w:rsidR="006151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1F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664D6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4D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>разделе</w:t>
              </w:r>
              <w:r w:rsid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 xml:space="preserve"> </w:t>
              </w:r>
              <w:r w:rsidRP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>11</w:t>
              </w:r>
            </w:hyperlink>
            <w:r w:rsidRPr="00E65BDC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7E5C99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Ряд изменений в Градостроительном кодексе РФ, в связи с чем возникла необходимость приведения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НПА</w:t>
            </w:r>
            <w:r w:rsidRPr="007E5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Мостовский район в соответствие с действующим законодательством</w:t>
            </w:r>
            <w:r w:rsidRPr="007E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B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5BDC" w:rsidRPr="00E65BDC">
              <w:rPr>
                <w:rFonts w:ascii="Times New Roman" w:hAnsi="Times New Roman" w:cs="Times New Roman"/>
                <w:sz w:val="28"/>
                <w:szCs w:val="28"/>
              </w:rPr>
              <w:t xml:space="preserve">роект устанавливает стандарт предоставления муниципальной услуги по </w:t>
            </w:r>
            <w:r w:rsidR="00C920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2086" w:rsidRPr="006151FB">
              <w:rPr>
                <w:rFonts w:ascii="Times New Roman" w:hAnsi="Times New Roman" w:cs="Times New Roman"/>
                <w:sz w:val="28"/>
                <w:szCs w:val="28"/>
              </w:rPr>
              <w:t>ыдач</w:t>
            </w:r>
            <w:r w:rsidR="00C920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086" w:rsidRPr="006151FB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разрешений на ввод в эксплуатацию построенных, реконструированных объектов капитального строительства</w:t>
            </w:r>
            <w:r w:rsidR="00E65BDC" w:rsidRPr="00E65BDC">
              <w:rPr>
                <w:rFonts w:ascii="Times New Roman" w:hAnsi="Times New Roman" w:cs="Times New Roman"/>
                <w:sz w:val="28"/>
                <w:szCs w:val="28"/>
              </w:rPr>
              <w:t xml:space="preserve"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(бездействий) </w:t>
            </w:r>
            <w:r w:rsidR="0069303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35D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  <w:r w:rsidR="00E65BDC" w:rsidRPr="00E65BDC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должностных лиц </w:t>
            </w:r>
            <w:r w:rsidR="0069303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35D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  <w:r w:rsidR="00E65BDC" w:rsidRPr="00E65BDC">
              <w:rPr>
                <w:rFonts w:ascii="Times New Roman" w:hAnsi="Times New Roman" w:cs="Times New Roman"/>
                <w:sz w:val="28"/>
                <w:szCs w:val="28"/>
              </w:rPr>
              <w:t>, либо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D35DF6" w:rsidP="00C9208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303A1B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C920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в целях </w:t>
            </w:r>
            <w:r w:rsid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C92086" w:rsidRP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егламентаци</w:t>
            </w:r>
            <w:r w:rsid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92086" w:rsidRP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административных процедур и административных</w:t>
            </w:r>
            <w:r w:rsid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92086" w:rsidRPr="00C92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действий при предоставлении муниципальной услуги по выдаче </w:t>
            </w:r>
            <w:r w:rsidR="00C92086" w:rsidRPr="006151FB">
              <w:rPr>
                <w:rFonts w:ascii="Times New Roman" w:hAnsi="Times New Roman" w:cs="Times New Roman"/>
                <w:sz w:val="28"/>
                <w:szCs w:val="28"/>
              </w:rPr>
              <w:t>разрешений на ввод в эксплуатацию построенных, реконструированных объектов капитального строительства</w:t>
            </w:r>
            <w:r w:rsidR="007E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99" w:rsidRDefault="00D35DF6" w:rsidP="007E5C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303A1B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регламентирует общий порядок и устанавливает требования к: </w:t>
            </w:r>
            <w:r w:rsidR="007E5C99" w:rsidRPr="007E5C99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7E5C9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7E5C99" w:rsidRPr="007E5C99">
              <w:rPr>
                <w:rFonts w:ascii="Times New Roman" w:hAnsi="Times New Roman" w:cs="Times New Roman"/>
                <w:sz w:val="28"/>
                <w:szCs w:val="28"/>
              </w:rPr>
              <w:t>разрешений на</w:t>
            </w:r>
            <w:r w:rsidR="007E5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C99" w:rsidRPr="007E5C99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построенных, </w:t>
            </w:r>
            <w:r w:rsidR="007E5C99" w:rsidRPr="007E5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реконструированных объектов</w:t>
            </w:r>
            <w:r w:rsidR="007E5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C99" w:rsidRPr="007E5C9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строительства» </w:t>
            </w:r>
          </w:p>
          <w:p w:rsidR="00EE777E" w:rsidRPr="00EE777E" w:rsidRDefault="007E5C99" w:rsidP="007E5C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C99">
              <w:rPr>
                <w:rFonts w:ascii="Times New Roman" w:hAnsi="Times New Roman" w:cs="Times New Roman"/>
                <w:sz w:val="28"/>
                <w:szCs w:val="28"/>
              </w:rPr>
              <w:t>Целью является регламентация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C99">
              <w:rPr>
                <w:rFonts w:ascii="Times New Roman" w:hAnsi="Times New Roman" w:cs="Times New Roman"/>
                <w:sz w:val="28"/>
                <w:szCs w:val="28"/>
              </w:rPr>
              <w:t>административных процедур и административных действий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C99">
              <w:rPr>
                <w:rFonts w:ascii="Times New Roman" w:hAnsi="Times New Roman" w:cs="Times New Roman"/>
                <w:sz w:val="28"/>
                <w:szCs w:val="28"/>
              </w:rPr>
              <w:t>предоставлении услуги.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072709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lastRenderedPageBreak/>
              <w:t>(место для текстового описания)</w:t>
            </w:r>
          </w:p>
          <w:p w:rsidR="00305CA1" w:rsidRDefault="00072709" w:rsidP="00305CA1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72709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2709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низкая степень  регулирующего воздействия. </w:t>
            </w:r>
          </w:p>
          <w:p w:rsidR="00072709" w:rsidRPr="00305CA1" w:rsidRDefault="00072709" w:rsidP="00305CA1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роект нормативного правового акта не содержит положений, 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>устанавливающих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ранее не предусмотренные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нормативным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правовым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ом административные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bookmarkStart w:id="1" w:name="_GoBack"/>
            <w:bookmarkEnd w:id="1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>бязанност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>, запреты и ограничения для физических и юридических лиц в сфере предпринимательской и инвестиционной деятель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ности, 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изменяющи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ранее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не предусмотренны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 правовым актом административны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, запреты и ограничения для физических и юридических лиц в сфере предпринимательской и инвестиционной деятельности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>а также положений, способствующих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возникновению ранее не</w:t>
            </w:r>
            <w:proofErr w:type="gramEnd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>нормативным правовым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физических и юридических лиц в сфере предпринимательско</w:t>
            </w:r>
            <w:r w:rsidR="00305CA1"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й и инвестиционной деятельности, </w:t>
            </w:r>
            <w:proofErr w:type="gramStart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>однако</w:t>
            </w:r>
            <w:proofErr w:type="gramEnd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подлежит оценке регулирующего воздействия по общим основаниям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E777E" w:rsidRPr="00EE777E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Татьяна Николаевна</w:t>
            </w:r>
          </w:p>
        </w:tc>
      </w:tr>
      <w:tr w:rsidR="00EE777E" w:rsidRPr="00EE777E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градостроительства, главный архитектор администрации муниципального образования Мостовский район</w:t>
            </w:r>
          </w:p>
        </w:tc>
      </w:tr>
      <w:tr w:rsidR="00EE777E" w:rsidRPr="00EE777E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</w:p>
        </w:tc>
        <w:tc>
          <w:tcPr>
            <w:tcW w:w="15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8(861-92)</w:t>
            </w:r>
          </w:p>
          <w:p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5-50-20</w:t>
            </w:r>
          </w:p>
        </w:tc>
        <w:tc>
          <w:tcPr>
            <w:tcW w:w="25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777E" w:rsidRP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arhitektmost@mail.ru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7684" w:rsidRPr="00467684" w:rsidRDefault="00467684" w:rsidP="00467684">
            <w:pPr>
              <w:pStyle w:val="aa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Урегулирование административных процедур и административных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действий при предоставлении муниципальной услуги по выдаче разрешений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ввод в эксплуатацию построенных, реконструированных объектов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капитального строительства.</w:t>
            </w:r>
          </w:p>
          <w:p w:rsidR="00C502CD" w:rsidRPr="00303A1B" w:rsidRDefault="00C502CD" w:rsidP="00467684">
            <w:pPr>
              <w:pStyle w:val="aa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B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467684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Принятие проекта постановления администрации муниципального образования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Мостовский район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«Об утверждении административного регламента «Выдача разрешений на ввод в эксплуатацию построенных, реконструированных объектов капитального строительства» по предоставлению муниципальной услуги обусловлено необходимостью реализации норм установленных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Градостроительным кодексом Российской Федерации от 29 декабря 2004 года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190-ФЗ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связи с внесением в него изменений </w:t>
            </w:r>
            <w:r w:rsidRPr="00467684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67684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зако</w:t>
            </w:r>
            <w:r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467684">
              <w:rPr>
                <w:rFonts w:ascii="Times New Roman" w:hAnsi="Times New Roman" w:cs="Times New Roman"/>
                <w:sz w:val="28"/>
                <w:szCs w:val="28"/>
              </w:rPr>
              <w:t xml:space="preserve"> от 3 августа 2018 года № 340-ФЗ «О внесении изменений в Градостроительный кодекс Российской Федерации и </w:t>
            </w:r>
            <w:r w:rsidRPr="00467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законодательные акты Российской Федерации»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226" w:rsidRPr="00BE09EC" w:rsidRDefault="001B1226" w:rsidP="00947960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9E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выполнения требований </w:t>
            </w:r>
            <w:r w:rsidR="00467684" w:rsidRPr="00BE09E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BE09EC" w:rsidRPr="00BE09E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ых</w:t>
            </w:r>
            <w:r w:rsidR="00467684" w:rsidRPr="00BE09E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BE09EC" w:rsidRPr="00BE09E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ов</w:t>
            </w:r>
            <w:r w:rsidR="00467684" w:rsidRPr="00BE09E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684" w:rsidRPr="00BE09EC">
              <w:rPr>
                <w:rFonts w:ascii="Times New Roman" w:hAnsi="Times New Roman" w:cs="Times New Roman"/>
                <w:sz w:val="28"/>
                <w:szCs w:val="28"/>
              </w:rPr>
              <w:t>от 3 августа 2018 года № 340-ФЗ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="00BE09EC" w:rsidRPr="00BE09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7684" w:rsidRPr="00BE09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E0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684" w:rsidRPr="00BE0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EC" w:rsidRPr="00BE09E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2018 года № </w:t>
            </w:r>
            <w:hyperlink r:id="rId9" w:anchor="dst100375" w:history="1">
              <w:r w:rsidR="00467684" w:rsidRPr="00BE09EC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341-ФЗ</w:t>
              </w:r>
            </w:hyperlink>
            <w:r w:rsidR="00467684" w:rsidRPr="00BE09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7684" w:rsidRPr="00BE09EC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</w:t>
            </w:r>
            <w:r w:rsidR="00BE09E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67684" w:rsidRPr="00BE09EC">
              <w:rPr>
                <w:rFonts w:ascii="Times New Roman" w:hAnsi="Times New Roman" w:cs="Times New Roman"/>
                <w:sz w:val="28"/>
                <w:szCs w:val="28"/>
              </w:rPr>
              <w:t>, от 3</w:t>
            </w:r>
            <w:r w:rsidR="00BE09EC" w:rsidRPr="00BE09E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2018 года № </w:t>
            </w:r>
            <w:hyperlink r:id="rId10" w:anchor="dst100009" w:history="1">
              <w:r w:rsidR="00467684" w:rsidRPr="00BE09EC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342-ФЗ</w:t>
              </w:r>
            </w:hyperlink>
            <w:r w:rsidR="00467684" w:rsidRPr="00BE09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09E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67684" w:rsidRPr="00BE09EC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 w:rsidR="00BE09E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2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D4323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0C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Заявителями на предоставление муниципальной услуги (далее – заявитель, заявители) являются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застройщики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Застройщик - </w:t>
            </w:r>
            <w:r w:rsidRPr="006A0E57">
              <w:rPr>
                <w:rFonts w:ascii="Times New Roman" w:hAnsi="Times New Roman"/>
                <w:sz w:val="28"/>
                <w:szCs w:val="28"/>
              </w:rPr>
              <w:t>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      </w:r>
            <w:proofErr w:type="spellStart"/>
            <w:r w:rsidRPr="006A0E57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6A0E57">
              <w:rPr>
                <w:rFonts w:ascii="Times New Roman" w:hAnsi="Times New Roman"/>
                <w:sz w:val="28"/>
                <w:szCs w:val="28"/>
              </w:rPr>
              <w:t>", Государственная корпорация по космической деятельности "</w:t>
            </w:r>
            <w:proofErr w:type="spellStart"/>
            <w:r w:rsidRPr="006A0E57">
              <w:rPr>
                <w:rFonts w:ascii="Times New Roman" w:hAnsi="Times New Roman"/>
                <w:sz w:val="28"/>
                <w:szCs w:val="28"/>
              </w:rPr>
              <w:t>Роскосмос</w:t>
            </w:r>
            <w:proofErr w:type="spellEnd"/>
            <w:r w:rsidRPr="006A0E57">
              <w:rPr>
                <w:rFonts w:ascii="Times New Roman" w:hAnsi="Times New Roman"/>
                <w:sz w:val="28"/>
                <w:szCs w:val="28"/>
              </w:rPr>
              <w:t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3E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D4323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качества предоставления муниципальной услуги. Увеличение количества отказов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муниципальной услуги, отсутствие у застройщиков информации об административных процедурах и сроках необходимых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51FB">
              <w:rPr>
                <w:rFonts w:ascii="Times New Roman" w:hAnsi="Times New Roman" w:cs="Times New Roman"/>
                <w:sz w:val="28"/>
                <w:szCs w:val="28"/>
              </w:rPr>
              <w:t>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1FB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разрешений на ввод в эксплуатацию построенных, реконструированных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D4323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установлены.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ежелание оформлять соответствующие разрешительные документы 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ринятие нормативных правовых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 г. Краснодар, Новороссийск и других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ентр правовой информации «КОНСУЛЬТАНТ»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телекоммуникационная сеть «Интернет».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18B5" w:rsidP="00863A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18B5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sub_30003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2"/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385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7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E777E" w:rsidRPr="00EE777E" w:rsidTr="00592865">
        <w:tc>
          <w:tcPr>
            <w:tcW w:w="385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результата исполнения муниципальной услуги</w:t>
            </w:r>
          </w:p>
        </w:tc>
        <w:tc>
          <w:tcPr>
            <w:tcW w:w="27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18B5" w:rsidP="00EE1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18B5" w:rsidP="00EE1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EE777E" w:rsidRPr="00EE777E" w:rsidTr="00592865">
        <w:tc>
          <w:tcPr>
            <w:tcW w:w="57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37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B5" w:rsidRDefault="00EE18B5" w:rsidP="0010723D">
            <w:pPr>
              <w:pStyle w:val="a4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№ 131-ФЗ «Об общих принципах организации местного самоуправления в Российской Федерации»; </w:t>
            </w:r>
          </w:p>
          <w:p w:rsidR="00154F2B" w:rsidRDefault="00D4323E" w:rsidP="0010723D">
            <w:pPr>
              <w:pStyle w:val="a4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154F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29 декабря 2004 года № 190-ФЗ «Градостроительный кодекс Российской Федерации»</w:t>
            </w:r>
            <w:r w:rsidR="00154F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777E" w:rsidRDefault="00154F2B" w:rsidP="0010723D">
            <w:pPr>
              <w:pStyle w:val="a4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0B2C9A">
              <w:rPr>
                <w:rFonts w:ascii="Times New Roman" w:hAnsi="Times New Roman"/>
                <w:sz w:val="28"/>
                <w:szCs w:val="28"/>
              </w:rPr>
              <w:t xml:space="preserve">Закон Краснодарского края от 21 июля 2008 года № 1540-КЗ </w:t>
            </w:r>
            <w:r w:rsidRPr="000B2C9A">
              <w:rPr>
                <w:rFonts w:ascii="Times New Roman" w:hAnsi="Times New Roman"/>
                <w:sz w:val="28"/>
                <w:szCs w:val="28"/>
              </w:rPr>
              <w:lastRenderedPageBreak/>
              <w:t>«Градостроительный кодекс Краснодарского края»</w:t>
            </w:r>
          </w:p>
          <w:p w:rsidR="00EE18B5" w:rsidRPr="00154F2B" w:rsidRDefault="00154F2B" w:rsidP="00863A1D">
            <w:pPr>
              <w:pStyle w:val="aa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2C9A">
              <w:rPr>
                <w:rFonts w:ascii="Times New Roman" w:hAnsi="Times New Roman"/>
                <w:sz w:val="28"/>
                <w:szCs w:val="28"/>
              </w:rPr>
              <w:t>остановление Правительства Российской Федерации от 30 апреля              2014 года № 403 «Об исчерпывающем перечне процедур в сфере жилищного строительства»</w:t>
            </w:r>
            <w:r w:rsidR="00863A1D">
              <w:rPr>
                <w:rFonts w:ascii="Times New Roman" w:hAnsi="Times New Roman" w:cs="Times New Roman"/>
                <w:sz w:val="28"/>
              </w:rPr>
              <w:t>;</w:t>
            </w:r>
            <w:r w:rsidR="00863A1D" w:rsidRPr="00EE18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63A1D" w:rsidRPr="00EE18B5" w:rsidRDefault="00154F2B" w:rsidP="00863A1D">
            <w:pPr>
              <w:pStyle w:val="aa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2C9A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муниципального образования Мостовский район от 12 мая 2012 года №1262 «О назначении </w:t>
            </w:r>
            <w:r>
              <w:rPr>
                <w:rFonts w:ascii="Times New Roman" w:hAnsi="Times New Roman"/>
                <w:sz w:val="28"/>
                <w:szCs w:val="28"/>
              </w:rPr>
              <w:t>уполномоченного</w:t>
            </w:r>
            <w:r w:rsidRPr="000B2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органа</w:t>
            </w:r>
            <w:r w:rsidRPr="000B2C9A">
              <w:rPr>
                <w:rFonts w:ascii="Times New Roman" w:hAnsi="Times New Roman"/>
                <w:sz w:val="28"/>
                <w:szCs w:val="28"/>
              </w:rPr>
              <w:t xml:space="preserve"> в области градостроительной деятельности»</w:t>
            </w:r>
            <w:r w:rsidR="00863A1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lastRenderedPageBreak/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3.4. Цели предлагаемого правового регулирования</w:t>
            </w: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3.5.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3.6. Единица измерения индикаторов</w:t>
            </w: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3.7. Целевые значения индикаторов по годам</w:t>
            </w:r>
          </w:p>
        </w:tc>
      </w:tr>
      <w:tr w:rsidR="00EE777E" w:rsidRPr="00EE777E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результата исполнения муниципальной услуги</w:t>
            </w: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количество жалоб на действие или противодействие специалистов</w:t>
            </w:r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77E" w:rsidRPr="00EE777E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3.8. Методы расчета индикаторов достижения целей предлагаемого правового регулирования, источники</w:t>
            </w:r>
          </w:p>
        </w:tc>
      </w:tr>
      <w:tr w:rsidR="00EE777E" w:rsidRPr="00EE777E" w:rsidTr="00592865">
        <w:tc>
          <w:tcPr>
            <w:tcW w:w="26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688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777E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3.9. Оценка затрат на проведение мониторинга достижения целей предлагаемого правового</w:t>
            </w:r>
          </w:p>
        </w:tc>
      </w:tr>
      <w:tr w:rsidR="00EE777E" w:rsidRPr="00EE777E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3D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затраты не требуются.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10723D" w:rsidRDefault="00EE777E" w:rsidP="0010723D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10723D" w:rsidRPr="00EE777E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2B" w:rsidRDefault="00154F2B" w:rsidP="00107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Застройщик:</w:t>
            </w:r>
          </w:p>
          <w:p w:rsidR="0010723D" w:rsidRPr="00EE777E" w:rsidRDefault="00154F2B" w:rsidP="00107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изические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3D" w:rsidRPr="0010723D" w:rsidRDefault="0010723D" w:rsidP="0010723D">
            <w:pPr>
              <w:ind w:firstLine="26"/>
              <w:jc w:val="center"/>
              <w:rPr>
                <w:rFonts w:ascii="Times New Roman" w:hAnsi="Times New Roman" w:cs="Times New Roman"/>
                <w:sz w:val="28"/>
              </w:rPr>
            </w:pPr>
            <w:r w:rsidRPr="0010723D">
              <w:rPr>
                <w:rFonts w:ascii="Times New Roman" w:hAnsi="Times New Roman" w:cs="Times New Roman"/>
                <w:sz w:val="28"/>
              </w:rPr>
              <w:t>Неопределенное количество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23D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723D" w:rsidRPr="00EE777E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3D" w:rsidRPr="00EE777E" w:rsidRDefault="00154F2B" w:rsidP="00107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3D" w:rsidRPr="0010723D" w:rsidRDefault="0010723D" w:rsidP="0010723D">
            <w:pPr>
              <w:ind w:firstLine="26"/>
              <w:jc w:val="center"/>
              <w:rPr>
                <w:rFonts w:ascii="Times New Roman" w:hAnsi="Times New Roman" w:cs="Times New Roman"/>
                <w:sz w:val="28"/>
              </w:rPr>
            </w:pPr>
            <w:r w:rsidRPr="0010723D">
              <w:rPr>
                <w:rFonts w:ascii="Times New Roman" w:hAnsi="Times New Roman" w:cs="Times New Roman"/>
                <w:sz w:val="28"/>
              </w:rPr>
              <w:t>Неопределенное количество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23D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rPr>
          <w:gridAfter w:val="1"/>
          <w:wAfter w:w="6" w:type="dxa"/>
        </w:trPr>
        <w:tc>
          <w:tcPr>
            <w:tcW w:w="2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Наименование органа:</w:t>
            </w:r>
            <w:r w:rsidR="001072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Администрация муниципального образования Мостовский район</w:t>
            </w:r>
          </w:p>
        </w:tc>
      </w:tr>
      <w:tr w:rsidR="00EE777E" w:rsidRPr="00EE777E" w:rsidTr="00592865">
        <w:trPr>
          <w:gridAfter w:val="1"/>
          <w:wAfter w:w="6" w:type="dxa"/>
        </w:trPr>
        <w:tc>
          <w:tcPr>
            <w:tcW w:w="2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154F2B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151F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23D">
              <w:rPr>
                <w:rFonts w:ascii="Times New Roman" w:hAnsi="Times New Roman" w:cs="Times New Roman"/>
                <w:sz w:val="28"/>
                <w:szCs w:val="28"/>
              </w:rPr>
              <w:t>зменяемая</w:t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154F2B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F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="0010723D" w:rsidRPr="0010723D">
              <w:rPr>
                <w:rFonts w:ascii="Times New Roman" w:hAnsi="Times New Roman" w:cs="Times New Roman"/>
                <w:sz w:val="28"/>
                <w:szCs w:val="28"/>
              </w:rPr>
              <w:t>, на основании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0723D" w:rsidRPr="0010723D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и физических лиц, их полномочных представителей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Изменение численности сотрудников не предполагается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Потребность в других ресурсах не требуется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sub_30006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Оценка дополнительных расходов (доходов) местного бюджета, связанных с введением предлагаемого правового регулирования:</w:t>
            </w:r>
            <w:bookmarkEnd w:id="6"/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4343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5.1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муниципального образования Мостовский район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CB2A00" w:rsidRDefault="00EE777E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(от 1 до N):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77E" w:rsidRPr="00EE777E" w:rsidRDefault="00CB2A00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EE777E" w:rsidRPr="00EE777E" w:rsidTr="00592865">
        <w:tc>
          <w:tcPr>
            <w:tcW w:w="4343" w:type="dxa"/>
            <w:gridSpan w:val="1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Default="0069303F" w:rsidP="00CB2A00">
            <w:pPr>
              <w:pStyle w:val="a5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 Функция</w:t>
            </w:r>
            <w:r w:rsidR="00EE777E"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(полномочие, обязанность или право)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2A00" w:rsidRPr="00CB2A00" w:rsidRDefault="00154F2B" w:rsidP="00CB2A00">
            <w:pPr>
              <w:ind w:firstLine="74"/>
              <w:jc w:val="center"/>
            </w:pPr>
            <w:r w:rsidRPr="006151F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</w:t>
            </w:r>
            <w:proofErr w:type="spellStart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в_____г</w:t>
            </w:r>
            <w:proofErr w:type="spellEnd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4343" w:type="dxa"/>
            <w:gridSpan w:val="1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N) за период_____</w:t>
            </w:r>
            <w:proofErr w:type="spellStart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4343" w:type="dxa"/>
            <w:gridSpan w:val="1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) за период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2017-2018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154F2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период_____</w:t>
            </w:r>
            <w:proofErr w:type="spellStart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период_____</w:t>
            </w:r>
            <w:proofErr w:type="spellStart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2017-2018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154F2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EE77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муниципального образования Мостовский район, возникающих в связи с введением предлагаемого правового регулирования: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тсутствуют.</w:t>
            </w:r>
          </w:p>
        </w:tc>
      </w:tr>
      <w:tr w:rsidR="00EE777E" w:rsidRPr="00EE777E" w:rsidTr="00592865">
        <w:trPr>
          <w:trHeight w:val="378"/>
        </w:trPr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F2B" w:rsidRDefault="00154F2B" w:rsidP="00535EBC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777E" w:rsidRPr="00154F2B" w:rsidRDefault="00154F2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F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Статистические данные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231741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EE777E" w:rsidRPr="00231741">
              <w:rPr>
                <w:rFonts w:ascii="Times New Roman" w:hAnsi="Times New Roman" w:cs="Times New Roman"/>
                <w:szCs w:val="28"/>
              </w:rPr>
              <w:t>место для текстового описания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hyperlink w:anchor="sub_30041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п. 4.1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нормативного правового акта)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7.3. Описание расходов и возможных доходов, связанных с введением 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Количественная оценка, млн. рублей</w:t>
            </w:r>
          </w:p>
        </w:tc>
      </w:tr>
      <w:tr w:rsidR="00231741" w:rsidRPr="00EE777E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7E1A4A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Застройщик - </w:t>
            </w:r>
            <w:r w:rsidRPr="006A0E57">
              <w:rPr>
                <w:rFonts w:ascii="Times New Roman" w:hAnsi="Times New Roman"/>
                <w:sz w:val="28"/>
                <w:szCs w:val="28"/>
              </w:rPr>
              <w:t>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      </w: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231741" w:rsidRPr="00EE777E" w:rsidTr="00592865"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716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4A" w:rsidRPr="007E1A4A" w:rsidRDefault="007E1A4A" w:rsidP="007E1A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231741" w:rsidRPr="00EE777E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Default="00231741" w:rsidP="007E1A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4A" w:rsidRPr="007E1A4A" w:rsidRDefault="007E1A4A" w:rsidP="007E1A4A"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A1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ввод в </w:t>
            </w:r>
            <w:proofErr w:type="spellStart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эксплуата</w:t>
            </w:r>
            <w:r w:rsidR="007E1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постро</w:t>
            </w:r>
            <w:r w:rsidR="007E1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енных</w:t>
            </w:r>
            <w:proofErr w:type="spellEnd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, ре</w:t>
            </w:r>
            <w:r w:rsidR="007E1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конструированных </w:t>
            </w:r>
            <w:proofErr w:type="spellStart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r w:rsidR="007E1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</w:t>
            </w:r>
            <w:r w:rsidR="007E1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 xml:space="preserve"> строи</w:t>
            </w:r>
            <w:r w:rsidR="007E1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 3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отсутствие иных вариантов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716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  <w:tc>
          <w:tcPr>
            <w:tcW w:w="23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разрабатывается в целях установления сроков, требований и последовательности действий (административных процедур) при оказании муниципальной услуги по </w:t>
            </w:r>
            <w:r w:rsidR="007E1A4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>дач</w:t>
            </w:r>
            <w:r w:rsidR="007E1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1A4A" w:rsidRPr="006151FB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разрешений на ввод в эксплуатацию построенных, реконструированных объектов капитального </w:t>
            </w:r>
            <w:r w:rsidR="0069303F" w:rsidRPr="006151FB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69303F" w:rsidRPr="00231741">
              <w:rPr>
                <w:rFonts w:ascii="Times New Roman" w:hAnsi="Times New Roman" w:cs="Times New Roman"/>
                <w:sz w:val="28"/>
                <w:szCs w:val="28"/>
              </w:rPr>
              <w:t>, в частности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, содержит требования, порядок и условия принятия соответствующих решений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регулирования на ранее возникшие отношения: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 Предполагаемая дата вступления в силу нормативного правового акта: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7E1A4A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t>(если положения вводятся в действие в разное время, указывается статья (пункт проекта) акта и дата введения)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10.2. Необходимость установления переходного периода и (или) отсрочки введения предлагаемого правового регулирования: есть (нет)</w:t>
            </w:r>
          </w:p>
        </w:tc>
      </w:tr>
      <w:tr w:rsidR="00231741" w:rsidRPr="00EE777E" w:rsidTr="00592865">
        <w:tc>
          <w:tcPr>
            <w:tcW w:w="2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26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07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дней с даты принятия проекта нормативного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правового акта;</w:t>
            </w:r>
          </w:p>
        </w:tc>
      </w:tr>
      <w:tr w:rsidR="00231741" w:rsidRPr="00EE777E" w:rsidTr="00592865">
        <w:tc>
          <w:tcPr>
            <w:tcW w:w="64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</w:p>
        </w:tc>
        <w:tc>
          <w:tcPr>
            <w:tcW w:w="19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 с даты</w:t>
            </w:r>
          </w:p>
        </w:tc>
        <w:tc>
          <w:tcPr>
            <w:tcW w:w="1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ind w:left="-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принятия проекта нормативного правового акта.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10.3. Необходимость распространения предлагаемого правового регулирования на ранее возникшие отношения: нет.</w:t>
            </w:r>
          </w:p>
        </w:tc>
      </w:tr>
      <w:tr w:rsidR="00231741" w:rsidRPr="00EE777E" w:rsidTr="00592865">
        <w:tc>
          <w:tcPr>
            <w:tcW w:w="674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 ранее возникшие отношения:</w:t>
            </w:r>
          </w:p>
        </w:tc>
        <w:tc>
          <w:tcPr>
            <w:tcW w:w="19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даты принятия проекта нормативного правового акта.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      </w:r>
          </w:p>
        </w:tc>
      </w:tr>
      <w:tr w:rsidR="00231741" w:rsidRPr="00EE777E" w:rsidTr="00592865">
        <w:tc>
          <w:tcPr>
            <w:tcW w:w="46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</w:p>
        </w:tc>
        <w:tc>
          <w:tcPr>
            <w:tcW w:w="491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865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41" w:rsidRPr="00EE777E" w:rsidRDefault="00592865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необходимости</w:t>
            </w:r>
          </w:p>
        </w:tc>
      </w:tr>
      <w:tr w:rsidR="00231741" w:rsidRPr="00EE777E" w:rsidTr="00592865">
        <w:tc>
          <w:tcPr>
            <w:tcW w:w="46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Заполняется по итогам проведения публичных консультаций по проекту нормативного правового акта и сводного отчета: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" w:name="sub_30011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 Информация о сроках проведения публичных консультаций по проекту нормативного правового акта и сводному отчету</w:t>
            </w:r>
            <w:bookmarkEnd w:id="7"/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      </w:r>
          </w:p>
        </w:tc>
      </w:tr>
      <w:tr w:rsidR="00231741" w:rsidRPr="00EE777E" w:rsidTr="00592865">
        <w:trPr>
          <w:gridAfter w:val="2"/>
          <w:wAfter w:w="15" w:type="dxa"/>
          <w:trHeight w:val="257"/>
        </w:trPr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начало: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7E1A4A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231741" w:rsidRPr="00EE777E" w:rsidTr="00592865">
        <w:trPr>
          <w:gridAfter w:val="2"/>
          <w:wAfter w:w="15" w:type="dxa"/>
        </w:trPr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ind w:left="-5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7E1A4A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8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38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11.2. Сведения о количестве замечаний и предложений, полученных в ходе публичных консультаций по проекту нормативного правового акта:</w:t>
            </w:r>
          </w:p>
        </w:tc>
      </w:tr>
      <w:tr w:rsidR="00231741" w:rsidRPr="00EE777E" w:rsidTr="00592865">
        <w:tc>
          <w:tcPr>
            <w:tcW w:w="38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Всего замечаний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предложений: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  <w:tc>
          <w:tcPr>
            <w:tcW w:w="36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592865" w:rsidP="00231741">
            <w:pPr>
              <w:pStyle w:val="a4"/>
              <w:tabs>
                <w:tab w:val="left" w:pos="35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1741" w:rsidRPr="00EE777E" w:rsidTr="00592865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1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, частично:</w:t>
            </w:r>
          </w:p>
        </w:tc>
        <w:tc>
          <w:tcPr>
            <w:tcW w:w="2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11.3. Полный электронный адрес размещения сводки предложений, поступивших по итогам проведения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публичных консультаций по проекту нормативного правового акта: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592865" w:rsidRDefault="0058174E" w:rsidP="00231741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hyperlink r:id="rId11" w:history="1">
              <w:r w:rsidR="00863A1D" w:rsidRPr="00F61506">
                <w:rPr>
                  <w:rStyle w:val="ab"/>
                  <w:rFonts w:ascii="Times New Roman" w:hAnsi="Times New Roman"/>
                  <w:sz w:val="28"/>
                  <w:szCs w:val="28"/>
                </w:rPr>
                <w:t>http://mostovskiy.ru/</w:t>
              </w:r>
            </w:hyperlink>
            <w:r w:rsidR="00863A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lastRenderedPageBreak/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Иные приложения (по усмотрению регулирующего органа).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5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br/>
              <w:t>регулирующего органа</w:t>
            </w:r>
          </w:p>
        </w:tc>
      </w:tr>
      <w:tr w:rsidR="00231741" w:rsidRPr="00EE777E" w:rsidTr="00592865">
        <w:tc>
          <w:tcPr>
            <w:tcW w:w="42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градостроительства, главный архитектор администрации МО Мостовский район, Антонова</w:t>
            </w:r>
          </w:p>
        </w:tc>
        <w:tc>
          <w:tcPr>
            <w:tcW w:w="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427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1D544D" w:rsidRDefault="001D544D" w:rsidP="001E7B5D">
      <w:pPr>
        <w:tabs>
          <w:tab w:val="left" w:pos="9356"/>
        </w:tabs>
      </w:pPr>
    </w:p>
    <w:p w:rsidR="00FF63C9" w:rsidRDefault="00FF63C9" w:rsidP="001E7B5D">
      <w:pPr>
        <w:tabs>
          <w:tab w:val="left" w:pos="9356"/>
        </w:tabs>
      </w:pPr>
    </w:p>
    <w:sectPr w:rsidR="00FF63C9" w:rsidSect="001E7B5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4E" w:rsidRDefault="0058174E" w:rsidP="003C2503">
      <w:r>
        <w:separator/>
      </w:r>
    </w:p>
  </w:endnote>
  <w:endnote w:type="continuationSeparator" w:id="0">
    <w:p w:rsidR="0058174E" w:rsidRDefault="0058174E" w:rsidP="003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4E" w:rsidRDefault="0058174E" w:rsidP="003C2503">
      <w:r>
        <w:separator/>
      </w:r>
    </w:p>
  </w:footnote>
  <w:footnote w:type="continuationSeparator" w:id="0">
    <w:p w:rsidR="0058174E" w:rsidRDefault="0058174E" w:rsidP="003C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2503" w:rsidRDefault="003B335C">
        <w:pPr>
          <w:pStyle w:val="a6"/>
          <w:jc w:val="center"/>
        </w:pPr>
        <w:r w:rsidRPr="004145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3446" w:rsidRPr="004145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45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5C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45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2503" w:rsidRDefault="003C25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24F"/>
    <w:multiLevelType w:val="hybridMultilevel"/>
    <w:tmpl w:val="EB48C31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44326FF9"/>
    <w:multiLevelType w:val="hybridMultilevel"/>
    <w:tmpl w:val="0CBCC5F4"/>
    <w:lvl w:ilvl="0" w:tplc="0419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45842A36"/>
    <w:multiLevelType w:val="hybridMultilevel"/>
    <w:tmpl w:val="3D288152"/>
    <w:lvl w:ilvl="0" w:tplc="C8666D5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54935A70"/>
    <w:multiLevelType w:val="multilevel"/>
    <w:tmpl w:val="7D9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805C49"/>
    <w:multiLevelType w:val="hybridMultilevel"/>
    <w:tmpl w:val="53042828"/>
    <w:lvl w:ilvl="0" w:tplc="C8666D5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7D917425"/>
    <w:multiLevelType w:val="hybridMultilevel"/>
    <w:tmpl w:val="071AEE40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7E"/>
    <w:rsid w:val="00072709"/>
    <w:rsid w:val="00086F48"/>
    <w:rsid w:val="000966A9"/>
    <w:rsid w:val="000B30CF"/>
    <w:rsid w:val="0010723D"/>
    <w:rsid w:val="00126A2C"/>
    <w:rsid w:val="00154F2B"/>
    <w:rsid w:val="001B1226"/>
    <w:rsid w:val="001D544D"/>
    <w:rsid w:val="001E7B5D"/>
    <w:rsid w:val="00231741"/>
    <w:rsid w:val="00261F1C"/>
    <w:rsid w:val="00303A1B"/>
    <w:rsid w:val="00305CA1"/>
    <w:rsid w:val="00351E0B"/>
    <w:rsid w:val="00373D5C"/>
    <w:rsid w:val="00380A87"/>
    <w:rsid w:val="003B335C"/>
    <w:rsid w:val="003C2503"/>
    <w:rsid w:val="00414574"/>
    <w:rsid w:val="00460E17"/>
    <w:rsid w:val="00467684"/>
    <w:rsid w:val="0058174E"/>
    <w:rsid w:val="00592865"/>
    <w:rsid w:val="005D3D3E"/>
    <w:rsid w:val="006151FB"/>
    <w:rsid w:val="00630E90"/>
    <w:rsid w:val="00646344"/>
    <w:rsid w:val="0069303F"/>
    <w:rsid w:val="007475E7"/>
    <w:rsid w:val="0075094E"/>
    <w:rsid w:val="007E1A4A"/>
    <w:rsid w:val="007E5C99"/>
    <w:rsid w:val="00863A1D"/>
    <w:rsid w:val="008A7D28"/>
    <w:rsid w:val="008B1E38"/>
    <w:rsid w:val="00925E59"/>
    <w:rsid w:val="00947960"/>
    <w:rsid w:val="009662F7"/>
    <w:rsid w:val="009A6FB0"/>
    <w:rsid w:val="00A65285"/>
    <w:rsid w:val="00B45DC8"/>
    <w:rsid w:val="00BE09EC"/>
    <w:rsid w:val="00C107CE"/>
    <w:rsid w:val="00C47F8C"/>
    <w:rsid w:val="00C502CD"/>
    <w:rsid w:val="00C92086"/>
    <w:rsid w:val="00CB2A00"/>
    <w:rsid w:val="00CC3446"/>
    <w:rsid w:val="00D35DF6"/>
    <w:rsid w:val="00D4323E"/>
    <w:rsid w:val="00DB0F73"/>
    <w:rsid w:val="00E65BDC"/>
    <w:rsid w:val="00EB7329"/>
    <w:rsid w:val="00EE18B5"/>
    <w:rsid w:val="00EE777E"/>
    <w:rsid w:val="00F0749F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77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777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77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E777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E777E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3C2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2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5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303A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b">
    <w:name w:val="Hyperlink"/>
    <w:uiPriority w:val="99"/>
    <w:unhideWhenUsed/>
    <w:rsid w:val="00863A1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80A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0A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rsid w:val="00467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77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777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77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E777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E777E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3C2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2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5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303A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b">
    <w:name w:val="Hyperlink"/>
    <w:uiPriority w:val="99"/>
    <w:unhideWhenUsed/>
    <w:rsid w:val="00863A1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80A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0A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rsid w:val="0046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stovski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04066/3d0cac60971a511280cbba229d9b6329c07731f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4068/46b4b351a6eb6bf3c553d41eb663011c2cb388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AE23-09E4-40E1-8717-52D0C9FE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Econom</cp:lastModifiedBy>
  <cp:revision>8</cp:revision>
  <cp:lastPrinted>2018-10-17T11:21:00Z</cp:lastPrinted>
  <dcterms:created xsi:type="dcterms:W3CDTF">2018-08-07T10:36:00Z</dcterms:created>
  <dcterms:modified xsi:type="dcterms:W3CDTF">2019-01-28T12:42:00Z</dcterms:modified>
</cp:coreProperties>
</file>