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E99" w:rsidRPr="003C2E99" w:rsidRDefault="00F76879" w:rsidP="000532EC">
      <w:pPr>
        <w:spacing w:after="0"/>
        <w:ind w:left="396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ПРИЛОЖЕНИЕ</w:t>
      </w:r>
      <w:r w:rsidR="003C2E99"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="00E723C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bookmarkStart w:id="0" w:name="_GoBack"/>
      <w:bookmarkEnd w:id="0"/>
      <w:r w:rsidR="003C2E99"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1</w:t>
      </w:r>
    </w:p>
    <w:p w:rsidR="003C2E99" w:rsidRPr="003C2E99" w:rsidRDefault="003C2E99" w:rsidP="000532EC">
      <w:pPr>
        <w:spacing w:after="0"/>
        <w:ind w:left="396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к </w:t>
      </w:r>
      <w:hyperlink w:anchor="sub_2" w:history="1">
        <w:r w:rsidRPr="003C2E99">
          <w:rPr>
            <w:rStyle w:val="a4"/>
            <w:rFonts w:ascii="Times New Roman" w:hAnsi="Times New Roman"/>
            <w:bCs/>
            <w:color w:val="000000" w:themeColor="text1"/>
            <w:sz w:val="28"/>
            <w:szCs w:val="28"/>
          </w:rPr>
          <w:t>Порядку</w:t>
        </w:r>
      </w:hyperlink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разработки, утверждения</w:t>
      </w:r>
    </w:p>
    <w:p w:rsidR="003C2E99" w:rsidRPr="003C2E99" w:rsidRDefault="003C2E99" w:rsidP="000532EC">
      <w:pPr>
        <w:spacing w:after="0"/>
        <w:ind w:left="396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и реализации </w:t>
      </w:r>
      <w:proofErr w:type="gramStart"/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ведомственных</w:t>
      </w:r>
      <w:proofErr w:type="gramEnd"/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целевых</w:t>
      </w:r>
    </w:p>
    <w:p w:rsidR="003C2E99" w:rsidRPr="003C2E99" w:rsidRDefault="003C2E99" w:rsidP="000532EC">
      <w:pPr>
        <w:spacing w:after="0"/>
        <w:ind w:left="396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программ в Мостовском районе</w:t>
      </w:r>
    </w:p>
    <w:p w:rsidR="003C2E99" w:rsidRDefault="003C2E99" w:rsidP="000532EC">
      <w:pPr>
        <w:spacing w:after="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spacing w:after="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0D51" w:rsidRPr="00CC77F8" w:rsidRDefault="00ED0D51" w:rsidP="000532EC">
      <w:pPr>
        <w:pStyle w:val="a5"/>
        <w:spacing w:line="276" w:lineRule="auto"/>
        <w:ind w:firstLine="851"/>
        <w:jc w:val="center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C77F8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МАКЕТ</w:t>
      </w:r>
    </w:p>
    <w:p w:rsidR="003C2E99" w:rsidRPr="00CC77F8" w:rsidRDefault="003C2E99" w:rsidP="000532EC">
      <w:pPr>
        <w:pStyle w:val="a5"/>
        <w:spacing w:line="276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77F8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ведомственной целевой программы</w:t>
      </w:r>
    </w:p>
    <w:p w:rsidR="003C2E99" w:rsidRPr="003C2E99" w:rsidRDefault="003C2E99" w:rsidP="000532EC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1001"/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1. Паспорт ведомственной целевой программы</w:t>
      </w:r>
      <w:bookmarkEnd w:id="1"/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1. Наименование ведомственной целевой программы (далее также - программа).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2. Основание для разработки программы.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данном </w:t>
      </w:r>
      <w:r w:rsidR="00581D8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ункте необходимо представить ссылку на нормативный</w:t>
      </w:r>
      <w:r w:rsidR="00581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правовой акт, являющийся основанием для разработки программы</w:t>
      </w:r>
      <w:r w:rsidR="00581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(наименование, номер и дата).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Наименование </w:t>
      </w:r>
      <w:hyperlink w:anchor="sub_1201" w:history="1">
        <w:r w:rsidRPr="003C2E99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субъекта бюджетного планирования</w:t>
        </w:r>
      </w:hyperlink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, подведомственного им распорядителя бюджетных средств.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может быть подготовлена и реализована только одним </w:t>
      </w:r>
      <w:hyperlink w:anchor="sub_1201" w:history="1">
        <w:r w:rsidRPr="003C2E99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субъектом бюджетного планирования</w:t>
        </w:r>
      </w:hyperlink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, подведомственного им распорядителем бюджетных средств.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4. Цель и задачи программы.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В данный пункт, включаются формулировки цели и задач программы. Программа имеет одну цель, достижению которой способствует решение нескольких (от двух до пяти) конкретных задач.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5. Сроки и этапы реализации программы.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Сроки реализации программы не могут превышать трех лет.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При необходимости сроки реализации программы могут быть разделены на этапы,  по  окончании  которых будут достигаться промежуточные результаты программы.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6. Объемы и источники финансирования программы.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Объемы финансирования (в тыс. рублей) должны быть представлены с разбивкой по источникам финансирования и по годам.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81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</w:t>
      </w:r>
      <w:proofErr w:type="gramStart"/>
      <w:r w:rsidR="00581D8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</w:t>
      </w:r>
      <w:r w:rsidR="00581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часть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 программы планируется к финансированию из бюджета принимаемых обязательств, объемы финансирования приводятся в двух вариантах (инерционный вариант - за счет  бюджета действующих обязательств и вариант полной реализации - с учетом средств из бюджета принимаемых обязательств).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Данные по объемам финансирования представляются в приведенной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ниже табличной форме. В прочих расходах могут отражаться любые виды расходов, кроме капитальных вложений и расходов на научно-исследовательские опытно-конструкторские работы (далее - НИОКР).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Включение в программу иных источников финансирования помимо средств бюджета муниципального образования Мостовский район возможно только при документальном их подтверждении  (подписанные соглашения,  договоры, гарантийные письма,  утвержденные федеральные и муниципальные целевые программы).</w:t>
      </w:r>
    </w:p>
    <w:p w:rsidR="003C2E99" w:rsidRPr="003C2E99" w:rsidRDefault="003C2E99" w:rsidP="000532EC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850"/>
        <w:gridCol w:w="1560"/>
        <w:gridCol w:w="850"/>
        <w:gridCol w:w="1559"/>
        <w:gridCol w:w="851"/>
        <w:gridCol w:w="1523"/>
      </w:tblGrid>
      <w:tr w:rsidR="003C2E99" w:rsidRPr="003C2E99" w:rsidTr="000532EC">
        <w:tc>
          <w:tcPr>
            <w:tcW w:w="2660" w:type="dxa"/>
            <w:vMerge w:val="restart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Источники</w:t>
            </w:r>
          </w:p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финансирования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1-й год реализации программы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2-й год реализации программы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3-й год реализации программы</w:t>
            </w:r>
          </w:p>
        </w:tc>
      </w:tr>
      <w:tr w:rsidR="000532EC" w:rsidRPr="003C2E99" w:rsidTr="000532EC">
        <w:tc>
          <w:tcPr>
            <w:tcW w:w="2660" w:type="dxa"/>
            <w:vMerge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</w:t>
            </w: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БДО+БПО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</w:t>
            </w: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БДО+БПО</w:t>
            </w: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</w:t>
            </w: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БДО+БПО</w:t>
            </w: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Краевой бюджет, в </w:t>
            </w:r>
            <w:proofErr w:type="spell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Капитальные вложения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НИОКР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Федеральный бюджет, в </w:t>
            </w:r>
            <w:proofErr w:type="spell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Капитальные вложения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НИОКР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Местный бюджет, в </w:t>
            </w:r>
            <w:proofErr w:type="spell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Капитальные вложения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НИОКР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Прочие источники, в </w:t>
            </w:r>
            <w:proofErr w:type="spell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proofErr w:type="gram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.ч</w:t>
            </w:r>
            <w:proofErr w:type="spellEnd"/>
            <w:proofErr w:type="gramEnd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Капитальные вложения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НИОКР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Итого, в </w:t>
            </w:r>
            <w:proofErr w:type="spell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Капитальные вложения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НИОКР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532EC" w:rsidRPr="003C2E99" w:rsidTr="000532EC">
        <w:tc>
          <w:tcPr>
            <w:tcW w:w="26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shd w:val="clear" w:color="auto" w:fill="auto"/>
          </w:tcPr>
          <w:p w:rsidR="003C2E99" w:rsidRPr="003C2E99" w:rsidRDefault="003C2E99" w:rsidP="000532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C2E99" w:rsidRPr="003C2E99" w:rsidRDefault="003C2E99" w:rsidP="000532EC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0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</w:t>
      </w: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*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) БДО - при  условии финансирования из бюджета действующих</w:t>
      </w:r>
      <w:bookmarkEnd w:id="2"/>
      <w:r w:rsidR="00581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обязательств.</w:t>
      </w:r>
    </w:p>
    <w:p w:rsidR="003C2E99" w:rsidRPr="003C2E99" w:rsidRDefault="003C2E99" w:rsidP="000532EC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2000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**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) БДО + БПО - при условии финансирования с учетом бюджета</w:t>
      </w:r>
      <w:bookmarkEnd w:id="3"/>
      <w:r w:rsidR="00581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действующих и принимаемых обязательств.</w:t>
      </w:r>
    </w:p>
    <w:p w:rsidR="003C2E99" w:rsidRPr="003C2E99" w:rsidRDefault="003C2E99" w:rsidP="000532EC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7. Индикаторы целей программы.</w:t>
      </w:r>
    </w:p>
    <w:p w:rsidR="003C2E99" w:rsidRPr="003C2E99" w:rsidRDefault="003C2E99" w:rsidP="000532EC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В данный  пун</w:t>
      </w:r>
      <w:proofErr w:type="gramStart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кт вкл</w:t>
      </w:r>
      <w:proofErr w:type="gramEnd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ючаются индикаторы целей программы,  их значения  в отчетном   периоде и значения индикаторов целей программы по завершении ее реализации.</w:t>
      </w:r>
    </w:p>
    <w:p w:rsidR="003C2E99" w:rsidRPr="003C2E99" w:rsidRDefault="003C2E99" w:rsidP="000532EC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Паспорт программы оформляется в соответствии с данной табличной формой:</w:t>
      </w:r>
    </w:p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C2E99" w:rsidRPr="003C2E99" w:rsidTr="003750D6">
        <w:tc>
          <w:tcPr>
            <w:tcW w:w="4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программы</w:t>
            </w:r>
          </w:p>
        </w:tc>
        <w:tc>
          <w:tcPr>
            <w:tcW w:w="4927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C2E99" w:rsidRPr="003C2E99" w:rsidTr="003750D6">
        <w:tc>
          <w:tcPr>
            <w:tcW w:w="4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927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C2E99" w:rsidRPr="003C2E99" w:rsidTr="003750D6">
        <w:tc>
          <w:tcPr>
            <w:tcW w:w="4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субъекта бюджетного финансирования</w:t>
            </w:r>
          </w:p>
        </w:tc>
        <w:tc>
          <w:tcPr>
            <w:tcW w:w="4927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C2E99" w:rsidRPr="003C2E99" w:rsidTr="003750D6">
        <w:tc>
          <w:tcPr>
            <w:tcW w:w="4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и задачи программы</w:t>
            </w:r>
          </w:p>
        </w:tc>
        <w:tc>
          <w:tcPr>
            <w:tcW w:w="4927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C2E99" w:rsidRPr="003C2E99" w:rsidTr="003750D6">
        <w:tc>
          <w:tcPr>
            <w:tcW w:w="4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Сроки и этапы реализации</w:t>
            </w:r>
          </w:p>
        </w:tc>
        <w:tc>
          <w:tcPr>
            <w:tcW w:w="4927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C2E99" w:rsidRPr="003C2E99" w:rsidTr="003750D6">
        <w:tc>
          <w:tcPr>
            <w:tcW w:w="4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4927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C2E99" w:rsidRPr="003C2E99" w:rsidTr="003750D6">
        <w:tc>
          <w:tcPr>
            <w:tcW w:w="4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4927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21002"/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2. Описание разделов ведомственной целевой программы</w:t>
      </w:r>
    </w:p>
    <w:bookmarkEnd w:id="4"/>
    <w:p w:rsidR="003C2E99" w:rsidRPr="003C2E99" w:rsidRDefault="003C2E99" w:rsidP="000532E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Ведомственная целевая программа включает 5 разделов. С</w:t>
      </w:r>
      <w:r w:rsidR="00581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целью унификации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формата программ разделы 2, 4, 5 заполняются в форме приведенных ниже </w:t>
      </w:r>
      <w:hyperlink w:anchor="sub_212" w:history="1">
        <w:r w:rsidRPr="003C2E99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таблиц</w:t>
        </w:r>
      </w:hyperlink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При необходимости к таблицам прилагаются текстовые комментарии, поясняющие содержание табличных данных.</w:t>
      </w:r>
    </w:p>
    <w:p w:rsidR="003C2E99" w:rsidRPr="003C2E99" w:rsidRDefault="003C2E99" w:rsidP="000532E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211"/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Раздел 1. Характеристика проблемы и цель программы</w:t>
      </w:r>
    </w:p>
    <w:bookmarkEnd w:id="5"/>
    <w:p w:rsidR="003C2E99" w:rsidRPr="003C2E99" w:rsidRDefault="003C2E99" w:rsidP="000532E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Характеристика проблемы, на решение которой </w:t>
      </w:r>
      <w:proofErr w:type="gramStart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направлена программа должна</w:t>
      </w:r>
      <w:proofErr w:type="gramEnd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содержать: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1) перечень проблем, на решение которых направлена данная программа. При формулировании проблем целесообразно использовать количественные показатели, свидетельствующие о наличии данной проблемы;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анализ причин возникновения указанной проблемы, а также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обоснование решения проблемы</w:t>
      </w:r>
      <w:r w:rsidR="00DF63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 ведомственном уровне (причины возникновения проблемы не должны носить межведомственный характер);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3) сформулированную цель программы, достижение которой будет способствовать решению выявленных проблем.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Формулировка цели программы может содержать: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- интегральное количественное значение целевого результата и его планируемую динамику (увеличение или уменьшение до определенного уровня) или качественную характеристику воздействия реализации  программы на объект регулирования (потребителей государственных услуг);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- характе</w:t>
      </w:r>
      <w:r w:rsidR="00DF63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ристику объекта регулирования,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состояния которого является целью программы;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-сроки достижения запланированного интегрального результата;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49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цель (подцель) социально-экономического развития </w:t>
      </w:r>
      <w:bookmarkEnd w:id="6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района, достижению </w:t>
      </w:r>
      <w:proofErr w:type="gramStart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которой</w:t>
      </w:r>
      <w:proofErr w:type="gramEnd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способствует данная программа;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52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5) наименование задачи субъекта бюджетного планирования</w:t>
      </w:r>
      <w:bookmarkEnd w:id="7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(распорядителя бюджетных средств), на решение которой направлена программа.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53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программы может способствовать достижению только одной</w:t>
      </w:r>
      <w:bookmarkEnd w:id="8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цели социально-экономического развития Мостовского района и решению одной задачи субъекта бюджетного планирования (распорядителя  бюджетных средств).</w:t>
      </w:r>
    </w:p>
    <w:p w:rsidR="003C2E99" w:rsidRPr="003C2E99" w:rsidRDefault="003C2E99" w:rsidP="000532E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212"/>
    </w:p>
    <w:bookmarkEnd w:id="9"/>
    <w:p w:rsidR="003C2E99" w:rsidRPr="003C2E99" w:rsidRDefault="003C2E99" w:rsidP="000532E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C2E99" w:rsidRPr="003C2E99" w:rsidSect="00B3112C">
          <w:headerReference w:type="default" r:id="rId7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3C2E99" w:rsidRPr="003C2E99" w:rsidRDefault="003C2E99" w:rsidP="000532EC">
      <w:pPr>
        <w:pStyle w:val="a5"/>
        <w:spacing w:line="276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lastRenderedPageBreak/>
        <w:t>Раздел 2. Перечень и описание программных мероприятий</w:t>
      </w:r>
    </w:p>
    <w:p w:rsidR="003C2E99" w:rsidRPr="003C2E99" w:rsidRDefault="003C2E99" w:rsidP="000532EC">
      <w:pPr>
        <w:spacing w:after="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ind w:firstLine="851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Таблица 1. Перечень и описание программных мероприятий</w:t>
      </w:r>
    </w:p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211"/>
        <w:gridCol w:w="1377"/>
        <w:gridCol w:w="1391"/>
        <w:gridCol w:w="1382"/>
        <w:gridCol w:w="988"/>
        <w:gridCol w:w="1104"/>
        <w:gridCol w:w="999"/>
        <w:gridCol w:w="999"/>
        <w:gridCol w:w="926"/>
        <w:gridCol w:w="926"/>
        <w:gridCol w:w="999"/>
        <w:gridCol w:w="999"/>
      </w:tblGrid>
      <w:tr w:rsidR="003C2E99" w:rsidRPr="003C2E99" w:rsidTr="003750D6">
        <w:tc>
          <w:tcPr>
            <w:tcW w:w="44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варианта финансирования</w:t>
            </w:r>
          </w:p>
        </w:tc>
        <w:tc>
          <w:tcPr>
            <w:tcW w:w="121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Наимено-вание</w:t>
            </w:r>
            <w:proofErr w:type="spellEnd"/>
            <w:proofErr w:type="gramEnd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меропри-ятий</w:t>
            </w:r>
            <w:proofErr w:type="spellEnd"/>
          </w:p>
        </w:tc>
        <w:tc>
          <w:tcPr>
            <w:tcW w:w="12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Описание </w:t>
            </w:r>
            <w:proofErr w:type="spellStart"/>
            <w:proofErr w:type="gram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меропри-ятия</w:t>
            </w:r>
            <w:proofErr w:type="spellEnd"/>
            <w:proofErr w:type="gramEnd"/>
          </w:p>
        </w:tc>
        <w:tc>
          <w:tcPr>
            <w:tcW w:w="121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Источник </w:t>
            </w:r>
            <w:proofErr w:type="spellStart"/>
            <w:proofErr w:type="gram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Срок </w:t>
            </w:r>
            <w:proofErr w:type="spellStart"/>
            <w:proofErr w:type="gram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реали-зации</w:t>
            </w:r>
            <w:proofErr w:type="spellEnd"/>
            <w:proofErr w:type="gramEnd"/>
          </w:p>
        </w:tc>
        <w:tc>
          <w:tcPr>
            <w:tcW w:w="4597" w:type="dxa"/>
            <w:gridSpan w:val="4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финансирования</w:t>
            </w:r>
          </w:p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(тыс. руб.)</w:t>
            </w:r>
          </w:p>
        </w:tc>
        <w:tc>
          <w:tcPr>
            <w:tcW w:w="3276" w:type="dxa"/>
            <w:gridSpan w:val="3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 реализации мероприятия по годам</w:t>
            </w:r>
          </w:p>
        </w:tc>
      </w:tr>
      <w:tr w:rsidR="003C2E99" w:rsidRPr="003C2E99" w:rsidTr="003750D6">
        <w:tc>
          <w:tcPr>
            <w:tcW w:w="44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20___</w:t>
            </w: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20___</w:t>
            </w: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20__</w:t>
            </w: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20__</w:t>
            </w: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20___</w:t>
            </w: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20___</w:t>
            </w:r>
          </w:p>
        </w:tc>
      </w:tr>
      <w:tr w:rsidR="003C2E99" w:rsidRPr="003C2E99" w:rsidTr="003750D6">
        <w:tc>
          <w:tcPr>
            <w:tcW w:w="445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12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15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</w:tr>
      <w:tr w:rsidR="003C2E99" w:rsidRPr="003C2E99" w:rsidTr="003750D6">
        <w:tc>
          <w:tcPr>
            <w:tcW w:w="44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Инерционный вариант (БДО)</w:t>
            </w:r>
          </w:p>
        </w:tc>
        <w:tc>
          <w:tcPr>
            <w:tcW w:w="121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C2E99" w:rsidRPr="003C2E99" w:rsidTr="003750D6">
        <w:tc>
          <w:tcPr>
            <w:tcW w:w="44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Оптимальный вариант  (БДО+БПО)</w:t>
            </w:r>
          </w:p>
        </w:tc>
        <w:tc>
          <w:tcPr>
            <w:tcW w:w="121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C2E99" w:rsidRPr="003C2E99" w:rsidTr="003750D6">
        <w:tc>
          <w:tcPr>
            <w:tcW w:w="44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15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C2E99" w:rsidRPr="003C2E99" w:rsidSect="00E33EF3">
          <w:pgSz w:w="16837" w:h="11905" w:orient="landscape"/>
          <w:pgMar w:top="1134" w:right="567" w:bottom="1134" w:left="1701" w:header="720" w:footer="720" w:gutter="0"/>
          <w:cols w:space="720"/>
          <w:noEndnote/>
        </w:sectPr>
      </w:pP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Мероприятия программы представляются в табличной форме в двух вариантах: при финансировании из бюджета действующих обязательств (инерционный вариант) и при выделении дополнительных средств бюджета муниципального образования Мостовский район из бюджета принимаемых обязательств (в случаях, если программа не может быть полностью выполнена в </w:t>
      </w:r>
      <w:r w:rsidR="00820E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рамках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бюджета действующих обязательств). При этом по каждому мероприятию должно быть представлено описание мероприятия и сроки его реализации. Мероприятия должны быть сгруппированы по этапам реализации программы, выделенным в разделе 2</w:t>
      </w:r>
      <w:r w:rsidR="00820E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программы. Объем  финансирования  мероприятия указывается с разбивкой по</w:t>
      </w:r>
      <w:r w:rsidR="00820E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годам реализации мероприятия.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</w:t>
      </w:r>
      <w:r w:rsidR="00820EA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реализации мероприятия по годам</w:t>
      </w:r>
      <w:r w:rsidR="00820EA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указать непосредственные результаты реализации мероприятия (например, количество оборудованных мест, количество сотрудников, прошедших обучение, и прочее) в 2 вариантах (инерционном и при наличии дополнительного финансирования из бюджета принимаемых обязательств) с учетом их динамики по годам реализации.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Непосредственные результаты реализации мероприятий программы в целом должны обеспечивать достижение индикаторов целей программы, представленных в разделе 4 программы.</w:t>
      </w: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Помимо приведенной выше табличной формы необходимо привести обоснования расчетов финансирования мероприятий в описательной части данного раздела программы.</w:t>
      </w:r>
    </w:p>
    <w:p w:rsidR="000532EC" w:rsidRPr="003C2E99" w:rsidRDefault="000532EC" w:rsidP="000532EC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Default="003C2E99" w:rsidP="000532EC">
      <w:pPr>
        <w:pStyle w:val="a5"/>
        <w:spacing w:line="276" w:lineRule="auto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10" w:name="sub_213"/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Раздел 3. Управление программой и механизм ее реализации</w:t>
      </w:r>
    </w:p>
    <w:p w:rsidR="000532EC" w:rsidRPr="000532EC" w:rsidRDefault="000532EC" w:rsidP="000532EC"/>
    <w:bookmarkEnd w:id="10"/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реализацию программы отвечает </w:t>
      </w:r>
      <w:r w:rsidR="00820E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разработавший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программу и представивший ее на утверждение субъект бюджетного планирования (распорядитель бюджетных средств). В данном разделе указывается должностное лицо, ответственное за реализацию программы, структурное подразделение субъекта бюджетного планирования, ответственное за координацию мероприятий программы. При привлечении для реализации программы </w:t>
      </w:r>
      <w:proofErr w:type="spellStart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иных, кроме бюджета муниципального образования Мостовский район, источников указываются 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механизмы  координации и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выполн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>ения мероприятий, финансируемых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данных источников. Кроме того, в данном разделе указывается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ведения мониторинга и 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отчетности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 реализации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программы.</w:t>
      </w:r>
    </w:p>
    <w:p w:rsidR="003C2E99" w:rsidRDefault="003C2E99" w:rsidP="000532EC">
      <w:pPr>
        <w:pStyle w:val="a5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214"/>
    </w:p>
    <w:p w:rsidR="000532EC" w:rsidRDefault="000532EC" w:rsidP="000532EC"/>
    <w:p w:rsidR="009D07F7" w:rsidRPr="000532EC" w:rsidRDefault="009D07F7" w:rsidP="000532EC"/>
    <w:p w:rsidR="003C2E99" w:rsidRDefault="003C2E99" w:rsidP="009D07F7">
      <w:pPr>
        <w:pStyle w:val="a5"/>
        <w:spacing w:line="276" w:lineRule="auto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lastRenderedPageBreak/>
        <w:t>Раздел 4. Индикаторы целей программы</w:t>
      </w:r>
    </w:p>
    <w:p w:rsidR="000532EC" w:rsidRPr="000532EC" w:rsidRDefault="000532EC" w:rsidP="009D07F7">
      <w:pPr>
        <w:spacing w:after="0"/>
      </w:pPr>
    </w:p>
    <w:p w:rsidR="003C2E99" w:rsidRPr="003C2E99" w:rsidRDefault="000532EC" w:rsidP="009D07F7">
      <w:pPr>
        <w:pStyle w:val="a5"/>
        <w:spacing w:line="276" w:lineRule="auto"/>
        <w:ind w:firstLine="851"/>
        <w:jc w:val="both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12" w:name="sub_2141"/>
      <w:bookmarkEnd w:id="11"/>
      <w:r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Т</w:t>
      </w:r>
      <w:r w:rsidR="003C2E99"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аблица 2. Индикаторы целей программы</w:t>
      </w:r>
    </w:p>
    <w:tbl>
      <w:tblPr>
        <w:tblpPr w:leftFromText="180" w:rightFromText="180" w:vertAnchor="text" w:horzAnchor="margin" w:tblpXSpec="center" w:tblpY="226"/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9"/>
        <w:gridCol w:w="850"/>
        <w:gridCol w:w="993"/>
        <w:gridCol w:w="850"/>
        <w:gridCol w:w="992"/>
        <w:gridCol w:w="817"/>
        <w:gridCol w:w="1026"/>
        <w:gridCol w:w="851"/>
        <w:gridCol w:w="1058"/>
      </w:tblGrid>
      <w:tr w:rsidR="009D07F7" w:rsidRPr="003C2E99" w:rsidTr="009D07F7">
        <w:tc>
          <w:tcPr>
            <w:tcW w:w="127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</w:t>
            </w:r>
            <w:proofErr w:type="spellEnd"/>
          </w:p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вание</w:t>
            </w:r>
            <w:proofErr w:type="spellEnd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индикаторов   цели</w:t>
            </w:r>
          </w:p>
        </w:tc>
        <w:tc>
          <w:tcPr>
            <w:tcW w:w="709" w:type="dxa"/>
            <w:shd w:val="clear" w:color="auto" w:fill="auto"/>
          </w:tcPr>
          <w:p w:rsidR="003C2E99" w:rsidRPr="003C2E99" w:rsidRDefault="003C2E99" w:rsidP="009D07F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Ед. </w:t>
            </w:r>
            <w:proofErr w:type="spellStart"/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1843" w:type="dxa"/>
            <w:gridSpan w:val="2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Значение </w:t>
            </w:r>
          </w:p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20____ году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1-й год </w:t>
            </w:r>
          </w:p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реализации программы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2-й год </w:t>
            </w:r>
          </w:p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реализации программы</w:t>
            </w:r>
          </w:p>
        </w:tc>
        <w:tc>
          <w:tcPr>
            <w:tcW w:w="1909" w:type="dxa"/>
            <w:gridSpan w:val="2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3-й год реализации программы</w:t>
            </w:r>
          </w:p>
        </w:tc>
      </w:tr>
      <w:tr w:rsidR="009D07F7" w:rsidRPr="003C2E99" w:rsidTr="009D07F7">
        <w:tc>
          <w:tcPr>
            <w:tcW w:w="127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</w:t>
            </w:r>
          </w:p>
        </w:tc>
        <w:tc>
          <w:tcPr>
            <w:tcW w:w="99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БДО+БЛО</w:t>
            </w: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</w:t>
            </w:r>
          </w:p>
        </w:tc>
        <w:tc>
          <w:tcPr>
            <w:tcW w:w="9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БДО+БЛО</w:t>
            </w:r>
          </w:p>
        </w:tc>
        <w:tc>
          <w:tcPr>
            <w:tcW w:w="817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</w:t>
            </w:r>
          </w:p>
        </w:tc>
        <w:tc>
          <w:tcPr>
            <w:tcW w:w="10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БДО+БЛО</w:t>
            </w: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</w:t>
            </w:r>
          </w:p>
        </w:tc>
        <w:tc>
          <w:tcPr>
            <w:tcW w:w="1058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БДО+БЛО</w:t>
            </w:r>
          </w:p>
        </w:tc>
      </w:tr>
      <w:tr w:rsidR="009D07F7" w:rsidRPr="003C2E99" w:rsidTr="009D07F7">
        <w:tc>
          <w:tcPr>
            <w:tcW w:w="127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07F7" w:rsidRPr="003C2E99" w:rsidTr="009D07F7">
        <w:tc>
          <w:tcPr>
            <w:tcW w:w="1276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07F7" w:rsidRPr="003C2E99" w:rsidTr="009D07F7">
        <w:tc>
          <w:tcPr>
            <w:tcW w:w="1276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9D07F7" w:rsidRPr="003C2E99" w:rsidRDefault="009D07F7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bookmarkEnd w:id="12"/>
    </w:tbl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если часть мероприятий программы не может быть реализована в рамках бюджета действующих обязательств, значения индикаторов целей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представляются в двух вариантах: в инерционном варианте (в случае реализации программы в рамках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действующих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обязательств) и в варианте 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учетом бюджета принимаемых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обязательств.</w:t>
      </w:r>
    </w:p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215"/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Раздел 5. Оценка рисков реализации ведомственной целевой программы</w:t>
      </w:r>
    </w:p>
    <w:bookmarkEnd w:id="13"/>
    <w:p w:rsidR="003C2E99" w:rsidRPr="003C2E99" w:rsidRDefault="003C2E99" w:rsidP="000532EC">
      <w:pPr>
        <w:pStyle w:val="a5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и механизмы их минимизации</w:t>
      </w:r>
    </w:p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Default="003C2E99" w:rsidP="000532EC">
      <w:pPr>
        <w:pStyle w:val="a5"/>
        <w:spacing w:line="276" w:lineRule="auto"/>
        <w:ind w:firstLine="851"/>
        <w:jc w:val="both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Таблица 3. Оценка рисков реализации программы и механизмы</w:t>
      </w:r>
      <w:r w:rsidR="000532E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Pr="003C2E99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их минимизации</w:t>
      </w:r>
    </w:p>
    <w:p w:rsidR="000532EC" w:rsidRPr="000532EC" w:rsidRDefault="000532EC" w:rsidP="000532EC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3"/>
        <w:gridCol w:w="5058"/>
      </w:tblGrid>
      <w:tr w:rsidR="003C2E99" w:rsidRPr="003C2E99" w:rsidTr="003C2E99">
        <w:tc>
          <w:tcPr>
            <w:tcW w:w="451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Внешний фактор, который может повлиять на реализацию программы</w:t>
            </w:r>
          </w:p>
        </w:tc>
        <w:tc>
          <w:tcPr>
            <w:tcW w:w="5058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3C2E99" w:rsidRPr="003C2E99" w:rsidTr="003C2E99">
        <w:tc>
          <w:tcPr>
            <w:tcW w:w="4513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058" w:type="dxa"/>
            <w:shd w:val="clear" w:color="auto" w:fill="auto"/>
          </w:tcPr>
          <w:p w:rsidR="003C2E99" w:rsidRPr="003C2E99" w:rsidRDefault="003C2E99" w:rsidP="000532E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2E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3C2E99" w:rsidRPr="003C2E99" w:rsidTr="003C2E99">
        <w:tc>
          <w:tcPr>
            <w:tcW w:w="4513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058" w:type="dxa"/>
            <w:shd w:val="clear" w:color="auto" w:fill="auto"/>
          </w:tcPr>
          <w:p w:rsidR="003C2E99" w:rsidRPr="003C2E99" w:rsidRDefault="003C2E99" w:rsidP="000532E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C2E99" w:rsidRP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0532EC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В графе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указываются внешние факторы, 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могут негативно повлиять на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реализацию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программы. Под внешними факторами подразумеваются явления, на которые</w:t>
      </w:r>
      <w:r w:rsidR="00053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субъект бюджетного планирования  (распорядитель бюджетных средств) не может повлиять самостоятельно, например, изменения федерального законодательства.</w:t>
      </w:r>
    </w:p>
    <w:p w:rsidR="003C2E99" w:rsidRPr="003C2E99" w:rsidRDefault="003C2E99" w:rsidP="000532EC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2 должны быть представлены механизмы минимизации </w:t>
      </w: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негативного влияния внешних факторов (например, оперативное реагирование на изменения федерального законодательства в части принятия соответствующего  краевого законодательства и прочее).</w:t>
      </w:r>
    </w:p>
    <w:p w:rsidR="003C2E99" w:rsidRDefault="003C2E99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32EC" w:rsidRDefault="000532EC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32EC" w:rsidRPr="003C2E99" w:rsidRDefault="000532EC" w:rsidP="000532E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32EC" w:rsidRPr="000532EC" w:rsidRDefault="000532EC" w:rsidP="000532EC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0532EC" w:rsidRPr="000532EC" w:rsidRDefault="000532EC" w:rsidP="000532EC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0532EC" w:rsidRPr="000532EC" w:rsidRDefault="000532EC" w:rsidP="000532EC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BC460E" w:rsidRPr="003C2E99" w:rsidRDefault="000532EC" w:rsidP="000532EC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Мостовский район                                                                            О.В. Денисова</w:t>
      </w:r>
    </w:p>
    <w:sectPr w:rsidR="00BC460E" w:rsidRPr="003C2E99" w:rsidSect="003C2E99">
      <w:head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FAC" w:rsidRDefault="00AB6FAC" w:rsidP="00B3112C">
      <w:pPr>
        <w:spacing w:after="0" w:line="240" w:lineRule="auto"/>
      </w:pPr>
      <w:r>
        <w:separator/>
      </w:r>
    </w:p>
  </w:endnote>
  <w:endnote w:type="continuationSeparator" w:id="0">
    <w:p w:rsidR="00AB6FAC" w:rsidRDefault="00AB6FAC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FAC" w:rsidRDefault="00AB6FAC" w:rsidP="00B3112C">
      <w:pPr>
        <w:spacing w:after="0" w:line="240" w:lineRule="auto"/>
      </w:pPr>
      <w:r>
        <w:separator/>
      </w:r>
    </w:p>
  </w:footnote>
  <w:footnote w:type="continuationSeparator" w:id="0">
    <w:p w:rsidR="00AB6FAC" w:rsidRDefault="00AB6FAC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94719"/>
      <w:docPartObj>
        <w:docPartGallery w:val="Page Numbers (Top of Page)"/>
        <w:docPartUnique/>
      </w:docPartObj>
    </w:sdtPr>
    <w:sdtEndPr/>
    <w:sdtContent>
      <w:p w:rsidR="00B3112C" w:rsidRDefault="009D07F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3C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3112C" w:rsidRDefault="00B3112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EC" w:rsidRPr="000532EC" w:rsidRDefault="000532EC">
    <w:pPr>
      <w:pStyle w:val="a6"/>
      <w:jc w:val="center"/>
      <w:rPr>
        <w:sz w:val="24"/>
        <w:szCs w:val="24"/>
      </w:rPr>
    </w:pPr>
    <w:r w:rsidRPr="000532EC">
      <w:rPr>
        <w:sz w:val="24"/>
        <w:szCs w:val="24"/>
      </w:rPr>
      <w:fldChar w:fldCharType="begin"/>
    </w:r>
    <w:r w:rsidRPr="000532EC">
      <w:rPr>
        <w:sz w:val="24"/>
        <w:szCs w:val="24"/>
      </w:rPr>
      <w:instrText xml:space="preserve"> PAGE   \* MERGEFORMAT </w:instrText>
    </w:r>
    <w:r w:rsidRPr="000532EC">
      <w:rPr>
        <w:sz w:val="24"/>
        <w:szCs w:val="24"/>
      </w:rPr>
      <w:fldChar w:fldCharType="separate"/>
    </w:r>
    <w:r w:rsidR="00E723C5">
      <w:rPr>
        <w:noProof/>
        <w:sz w:val="24"/>
        <w:szCs w:val="24"/>
      </w:rPr>
      <w:t>8</w:t>
    </w:r>
    <w:r w:rsidRPr="000532EC">
      <w:rPr>
        <w:sz w:val="24"/>
        <w:szCs w:val="24"/>
      </w:rPr>
      <w:fldChar w:fldCharType="end"/>
    </w:r>
  </w:p>
  <w:p w:rsidR="000532EC" w:rsidRDefault="000532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0532EC"/>
    <w:rsid w:val="003C2E99"/>
    <w:rsid w:val="00581D8C"/>
    <w:rsid w:val="00631D36"/>
    <w:rsid w:val="00820EA6"/>
    <w:rsid w:val="009D07F7"/>
    <w:rsid w:val="00AB6FAC"/>
    <w:rsid w:val="00B3112C"/>
    <w:rsid w:val="00BC460E"/>
    <w:rsid w:val="00C36A48"/>
    <w:rsid w:val="00CC77F8"/>
    <w:rsid w:val="00CD2EDB"/>
    <w:rsid w:val="00DF6360"/>
    <w:rsid w:val="00E723C5"/>
    <w:rsid w:val="00ED0D51"/>
    <w:rsid w:val="00F7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11</cp:revision>
  <cp:lastPrinted>2014-07-09T11:36:00Z</cp:lastPrinted>
  <dcterms:created xsi:type="dcterms:W3CDTF">2014-07-09T10:50:00Z</dcterms:created>
  <dcterms:modified xsi:type="dcterms:W3CDTF">2016-01-14T12:51:00Z</dcterms:modified>
</cp:coreProperties>
</file>